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E45F" w14:textId="2522C452" w:rsidR="00EF5843" w:rsidRDefault="00EF5843" w:rsidP="00EF5843">
      <w:pPr>
        <w:spacing w:after="480"/>
      </w:pPr>
      <w:r>
        <w:rPr>
          <w:noProof/>
        </w:rPr>
        <w:drawing>
          <wp:inline distT="0" distB="0" distL="0" distR="0" wp14:anchorId="120E431E" wp14:editId="48318015">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EF5843" w14:paraId="369122C6" w14:textId="77777777" w:rsidTr="0042671C">
        <w:trPr>
          <w:tblHeader/>
        </w:trPr>
        <w:tc>
          <w:tcPr>
            <w:tcW w:w="3456" w:type="dxa"/>
            <w:tcBorders>
              <w:bottom w:val="single" w:sz="18" w:space="0" w:color="auto"/>
            </w:tcBorders>
          </w:tcPr>
          <w:p w14:paraId="34F6112A" w14:textId="77777777" w:rsidR="00EF5843" w:rsidRPr="00B805DB" w:rsidRDefault="00EF5843" w:rsidP="0042671C">
            <w:pPr>
              <w:pStyle w:val="Heading1"/>
              <w:spacing w:after="240"/>
              <w:outlineLvl w:val="0"/>
            </w:pPr>
            <w:r>
              <w:t>Report f</w:t>
            </w:r>
            <w:r w:rsidRPr="00C869F3">
              <w:t>or:</w:t>
            </w:r>
          </w:p>
        </w:tc>
        <w:tc>
          <w:tcPr>
            <w:tcW w:w="5054" w:type="dxa"/>
            <w:tcBorders>
              <w:bottom w:val="single" w:sz="18" w:space="0" w:color="auto"/>
            </w:tcBorders>
          </w:tcPr>
          <w:p w14:paraId="5EFD4D73" w14:textId="77777777" w:rsidR="00EF5843" w:rsidRPr="005E3A10" w:rsidRDefault="00EF5843" w:rsidP="0042671C">
            <w:pPr>
              <w:pStyle w:val="Heading1"/>
              <w:outlineLvl w:val="0"/>
              <w:rPr>
                <w:szCs w:val="24"/>
              </w:rPr>
            </w:pPr>
            <w:r w:rsidRPr="005E3A10">
              <w:t>Cabinet</w:t>
            </w:r>
          </w:p>
        </w:tc>
      </w:tr>
      <w:tr w:rsidR="00EF5843" w14:paraId="25D83B62" w14:textId="77777777" w:rsidTr="0042671C">
        <w:tc>
          <w:tcPr>
            <w:tcW w:w="3456" w:type="dxa"/>
            <w:tcBorders>
              <w:top w:val="single" w:sz="18" w:space="0" w:color="auto"/>
            </w:tcBorders>
          </w:tcPr>
          <w:p w14:paraId="78EFD247" w14:textId="77777777" w:rsidR="00EF5843" w:rsidRPr="00C13A5F" w:rsidRDefault="00EF5843" w:rsidP="0042671C">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2362F185" w14:textId="712C9033" w:rsidR="00EF5843" w:rsidRPr="005E3A10" w:rsidRDefault="00EF5843" w:rsidP="0042671C">
            <w:pPr>
              <w:rPr>
                <w:rFonts w:cs="Arial"/>
                <w:szCs w:val="24"/>
              </w:rPr>
            </w:pPr>
            <w:r>
              <w:rPr>
                <w:rFonts w:cs="Arial"/>
                <w:szCs w:val="24"/>
              </w:rPr>
              <w:t>18 July 2022</w:t>
            </w:r>
          </w:p>
        </w:tc>
      </w:tr>
      <w:tr w:rsidR="00EF5843" w14:paraId="375A5FB5" w14:textId="77777777" w:rsidTr="0042671C">
        <w:tc>
          <w:tcPr>
            <w:tcW w:w="3456" w:type="dxa"/>
          </w:tcPr>
          <w:p w14:paraId="736ADDB0" w14:textId="77777777" w:rsidR="00EF5843" w:rsidRPr="00C13A5F" w:rsidRDefault="00EF5843" w:rsidP="0042671C">
            <w:pPr>
              <w:pStyle w:val="Infotext"/>
              <w:spacing w:after="240"/>
              <w:rPr>
                <w:rFonts w:ascii="Arial Black" w:hAnsi="Arial Black"/>
              </w:rPr>
            </w:pPr>
            <w:r w:rsidRPr="00C13A5F">
              <w:rPr>
                <w:rFonts w:ascii="Arial Black" w:hAnsi="Arial Black" w:cs="Arial"/>
              </w:rPr>
              <w:t>Subject:</w:t>
            </w:r>
          </w:p>
        </w:tc>
        <w:tc>
          <w:tcPr>
            <w:tcW w:w="5054" w:type="dxa"/>
          </w:tcPr>
          <w:p w14:paraId="28793848" w14:textId="77777777" w:rsidR="00EF5843" w:rsidRPr="00B37833" w:rsidRDefault="00EF5843" w:rsidP="00EF5843">
            <w:pPr>
              <w:rPr>
                <w:rFonts w:cs="Arial"/>
                <w:szCs w:val="24"/>
              </w:rPr>
            </w:pPr>
            <w:r w:rsidRPr="00B37833">
              <w:rPr>
                <w:rFonts w:cs="Arial"/>
                <w:szCs w:val="24"/>
              </w:rPr>
              <w:t>Revenue and Capital Monitoring 2021-22 – Final Outturn</w:t>
            </w:r>
          </w:p>
          <w:p w14:paraId="65C7A6E4" w14:textId="77777777" w:rsidR="00EF5843" w:rsidRPr="005E3A10" w:rsidRDefault="00EF5843" w:rsidP="0042671C">
            <w:pPr>
              <w:rPr>
                <w:rFonts w:cs="Arial"/>
                <w:szCs w:val="24"/>
              </w:rPr>
            </w:pPr>
          </w:p>
        </w:tc>
      </w:tr>
      <w:tr w:rsidR="00EF5843" w14:paraId="079BE376" w14:textId="77777777" w:rsidTr="0042671C">
        <w:tc>
          <w:tcPr>
            <w:tcW w:w="3456" w:type="dxa"/>
          </w:tcPr>
          <w:p w14:paraId="2116654B" w14:textId="77777777" w:rsidR="00EF5843" w:rsidRPr="00C13A5F" w:rsidRDefault="00EF5843" w:rsidP="0042671C">
            <w:pPr>
              <w:pStyle w:val="Infotext"/>
              <w:spacing w:after="240"/>
              <w:rPr>
                <w:rFonts w:ascii="Arial Black" w:hAnsi="Arial Black" w:cs="Arial"/>
              </w:rPr>
            </w:pPr>
            <w:r w:rsidRPr="00C13A5F">
              <w:rPr>
                <w:rFonts w:ascii="Arial Black" w:hAnsi="Arial Black" w:cs="Arial"/>
              </w:rPr>
              <w:t>Key Decision:</w:t>
            </w:r>
          </w:p>
        </w:tc>
        <w:tc>
          <w:tcPr>
            <w:tcW w:w="5054" w:type="dxa"/>
          </w:tcPr>
          <w:p w14:paraId="324E799A" w14:textId="01A5C124" w:rsidR="00EF5843" w:rsidRPr="005E3A10" w:rsidRDefault="00EF5843" w:rsidP="00EF5843">
            <w:pPr>
              <w:pStyle w:val="Infotext"/>
              <w:rPr>
                <w:rFonts w:cs="Arial"/>
                <w:szCs w:val="24"/>
              </w:rPr>
            </w:pPr>
            <w:r w:rsidRPr="005E3A10">
              <w:rPr>
                <w:rFonts w:cs="Arial"/>
                <w:sz w:val="24"/>
                <w:szCs w:val="24"/>
              </w:rPr>
              <w:t xml:space="preserve">Yes </w:t>
            </w:r>
          </w:p>
        </w:tc>
      </w:tr>
      <w:tr w:rsidR="00EF5843" w14:paraId="601EFD1E" w14:textId="77777777" w:rsidTr="0042671C">
        <w:tc>
          <w:tcPr>
            <w:tcW w:w="3456" w:type="dxa"/>
          </w:tcPr>
          <w:p w14:paraId="0271E988" w14:textId="77777777" w:rsidR="00EF5843" w:rsidRPr="00C13A5F" w:rsidRDefault="00EF5843" w:rsidP="0042671C">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EEF3B66" w14:textId="77777777" w:rsidR="00EF5843" w:rsidRPr="00B37833" w:rsidRDefault="00EF5843" w:rsidP="00EF5843">
            <w:pPr>
              <w:pStyle w:val="Infotext"/>
              <w:rPr>
                <w:rFonts w:cs="Arial"/>
                <w:sz w:val="24"/>
                <w:szCs w:val="24"/>
              </w:rPr>
            </w:pPr>
            <w:r w:rsidRPr="00B37833">
              <w:rPr>
                <w:rFonts w:cs="Arial"/>
                <w:sz w:val="24"/>
                <w:szCs w:val="24"/>
              </w:rPr>
              <w:t>Dawn Calvert, Director of Finance and Assurance</w:t>
            </w:r>
          </w:p>
          <w:p w14:paraId="3ABF835B" w14:textId="77777777" w:rsidR="00EF5843" w:rsidRPr="005E3A10" w:rsidRDefault="00EF5843" w:rsidP="0042671C">
            <w:pPr>
              <w:pStyle w:val="Infotext"/>
              <w:rPr>
                <w:rFonts w:cs="Arial"/>
                <w:sz w:val="24"/>
                <w:szCs w:val="24"/>
              </w:rPr>
            </w:pPr>
          </w:p>
        </w:tc>
      </w:tr>
      <w:tr w:rsidR="00EF5843" w14:paraId="3B75574C" w14:textId="77777777" w:rsidTr="0042671C">
        <w:tc>
          <w:tcPr>
            <w:tcW w:w="3456" w:type="dxa"/>
          </w:tcPr>
          <w:p w14:paraId="1FE1578B" w14:textId="77777777" w:rsidR="00EF5843" w:rsidRPr="00C13A5F" w:rsidRDefault="00EF5843" w:rsidP="0042671C">
            <w:pPr>
              <w:pStyle w:val="Infotext"/>
              <w:spacing w:after="240"/>
              <w:rPr>
                <w:rFonts w:ascii="Arial Black" w:hAnsi="Arial Black"/>
              </w:rPr>
            </w:pPr>
            <w:r w:rsidRPr="00DB6C3D">
              <w:rPr>
                <w:rFonts w:ascii="Arial Black" w:hAnsi="Arial Black"/>
              </w:rPr>
              <w:t>Portfolio Holder:</w:t>
            </w:r>
          </w:p>
        </w:tc>
        <w:tc>
          <w:tcPr>
            <w:tcW w:w="5054" w:type="dxa"/>
          </w:tcPr>
          <w:p w14:paraId="186D2332" w14:textId="77777777" w:rsidR="00EF5843" w:rsidRPr="00B37833" w:rsidRDefault="00EF5843" w:rsidP="00EF5843">
            <w:pPr>
              <w:pStyle w:val="Infotext"/>
              <w:jc w:val="both"/>
              <w:rPr>
                <w:rFonts w:cs="Arial"/>
                <w:sz w:val="24"/>
                <w:szCs w:val="24"/>
              </w:rPr>
            </w:pPr>
            <w:r w:rsidRPr="00B37833">
              <w:rPr>
                <w:rFonts w:cs="Arial"/>
                <w:sz w:val="24"/>
                <w:szCs w:val="24"/>
              </w:rPr>
              <w:t xml:space="preserve">Councillor David Ashton, Portfolio Holder for Finance and </w:t>
            </w:r>
            <w:r>
              <w:rPr>
                <w:rFonts w:cs="Arial"/>
                <w:sz w:val="24"/>
                <w:szCs w:val="24"/>
              </w:rPr>
              <w:t>Human Resources</w:t>
            </w:r>
          </w:p>
          <w:p w14:paraId="42471174" w14:textId="060211AF" w:rsidR="00EF5843" w:rsidRPr="005E3A10" w:rsidRDefault="00EF5843" w:rsidP="0042671C">
            <w:pPr>
              <w:pStyle w:val="Infotext"/>
              <w:rPr>
                <w:rFonts w:cs="Arial"/>
                <w:color w:val="FF0000"/>
                <w:sz w:val="24"/>
                <w:szCs w:val="24"/>
              </w:rPr>
            </w:pPr>
          </w:p>
        </w:tc>
      </w:tr>
      <w:tr w:rsidR="00EF5843" w14:paraId="76DEF43F" w14:textId="77777777" w:rsidTr="0042671C">
        <w:tc>
          <w:tcPr>
            <w:tcW w:w="3456" w:type="dxa"/>
          </w:tcPr>
          <w:p w14:paraId="1FA2D561" w14:textId="77777777" w:rsidR="00EF5843" w:rsidRPr="00C13A5F" w:rsidRDefault="00EF5843" w:rsidP="0042671C">
            <w:pPr>
              <w:pStyle w:val="Infotext"/>
              <w:spacing w:after="240"/>
              <w:rPr>
                <w:rFonts w:ascii="Arial Black" w:hAnsi="Arial Black"/>
              </w:rPr>
            </w:pPr>
            <w:r w:rsidRPr="00DB6C3D">
              <w:rPr>
                <w:rFonts w:ascii="Arial Black" w:hAnsi="Arial Black"/>
              </w:rPr>
              <w:t>Exempt:</w:t>
            </w:r>
          </w:p>
        </w:tc>
        <w:tc>
          <w:tcPr>
            <w:tcW w:w="5054" w:type="dxa"/>
          </w:tcPr>
          <w:p w14:paraId="44E0AAC0" w14:textId="33BE1E98" w:rsidR="00EF5843" w:rsidRPr="005E3A10" w:rsidRDefault="00EF5843" w:rsidP="0042671C">
            <w:pPr>
              <w:pStyle w:val="Infotext"/>
              <w:rPr>
                <w:rFonts w:cs="Arial"/>
                <w:sz w:val="24"/>
                <w:szCs w:val="24"/>
              </w:rPr>
            </w:pPr>
            <w:r w:rsidRPr="005E3A10">
              <w:rPr>
                <w:rFonts w:cs="Arial"/>
                <w:sz w:val="24"/>
                <w:szCs w:val="24"/>
              </w:rPr>
              <w:t>No</w:t>
            </w:r>
          </w:p>
          <w:p w14:paraId="797ACB87" w14:textId="77777777" w:rsidR="00EF5843" w:rsidRPr="005E3A10" w:rsidRDefault="00EF5843" w:rsidP="00EF5843">
            <w:pPr>
              <w:pStyle w:val="Infotext"/>
              <w:rPr>
                <w:rFonts w:cs="Arial"/>
                <w:color w:val="FF0000"/>
                <w:sz w:val="24"/>
                <w:szCs w:val="24"/>
              </w:rPr>
            </w:pPr>
          </w:p>
        </w:tc>
      </w:tr>
      <w:tr w:rsidR="00EF5843" w14:paraId="295A2476" w14:textId="77777777" w:rsidTr="0042671C">
        <w:tc>
          <w:tcPr>
            <w:tcW w:w="3456" w:type="dxa"/>
          </w:tcPr>
          <w:p w14:paraId="624D1EFA" w14:textId="77777777" w:rsidR="00EF5843" w:rsidRPr="00C13A5F" w:rsidRDefault="00EF5843" w:rsidP="0042671C">
            <w:pPr>
              <w:pStyle w:val="Infotext"/>
              <w:spacing w:after="240"/>
              <w:rPr>
                <w:rFonts w:ascii="Arial Black" w:hAnsi="Arial Black"/>
              </w:rPr>
            </w:pPr>
            <w:r w:rsidRPr="00DB6C3D">
              <w:rPr>
                <w:rFonts w:ascii="Arial Black" w:hAnsi="Arial Black"/>
              </w:rPr>
              <w:t>Decision subject to Call-in:</w:t>
            </w:r>
          </w:p>
        </w:tc>
        <w:tc>
          <w:tcPr>
            <w:tcW w:w="5054" w:type="dxa"/>
          </w:tcPr>
          <w:p w14:paraId="11BD61B5" w14:textId="1FA87155" w:rsidR="00EF5843" w:rsidRPr="005E3A10" w:rsidRDefault="00EF5843" w:rsidP="00EF5843">
            <w:pPr>
              <w:pStyle w:val="Infotext"/>
              <w:rPr>
                <w:rFonts w:cs="Arial"/>
                <w:szCs w:val="24"/>
              </w:rPr>
            </w:pPr>
            <w:r w:rsidRPr="005E3A10">
              <w:rPr>
                <w:rFonts w:cs="Arial"/>
                <w:sz w:val="24"/>
                <w:szCs w:val="24"/>
              </w:rPr>
              <w:t xml:space="preserve">Yes </w:t>
            </w:r>
          </w:p>
        </w:tc>
      </w:tr>
      <w:tr w:rsidR="00EF5843" w14:paraId="49E6887F" w14:textId="77777777" w:rsidTr="0042671C">
        <w:tc>
          <w:tcPr>
            <w:tcW w:w="3456" w:type="dxa"/>
          </w:tcPr>
          <w:p w14:paraId="02359631" w14:textId="77777777" w:rsidR="00EF5843" w:rsidRPr="00C13A5F" w:rsidRDefault="00EF5843" w:rsidP="0042671C">
            <w:pPr>
              <w:pStyle w:val="Infotext"/>
              <w:spacing w:after="240"/>
              <w:rPr>
                <w:rFonts w:ascii="Arial Black" w:hAnsi="Arial Black" w:cs="Arial"/>
              </w:rPr>
            </w:pPr>
            <w:r>
              <w:rPr>
                <w:rFonts w:ascii="Arial Black" w:hAnsi="Arial Black" w:cs="Arial"/>
              </w:rPr>
              <w:t>Wards affected:</w:t>
            </w:r>
          </w:p>
        </w:tc>
        <w:tc>
          <w:tcPr>
            <w:tcW w:w="5054" w:type="dxa"/>
          </w:tcPr>
          <w:p w14:paraId="20BB3B81" w14:textId="52B31935" w:rsidR="00EF5843" w:rsidRPr="00307F76" w:rsidRDefault="00EF5843" w:rsidP="0042671C">
            <w:pPr>
              <w:rPr>
                <w:rFonts w:cs="Arial"/>
                <w:b/>
                <w:color w:val="FF0000"/>
                <w:szCs w:val="24"/>
              </w:rPr>
            </w:pPr>
            <w:r>
              <w:rPr>
                <w:rFonts w:cs="Arial"/>
                <w:szCs w:val="24"/>
              </w:rPr>
              <w:t>All wards</w:t>
            </w:r>
          </w:p>
        </w:tc>
      </w:tr>
      <w:tr w:rsidR="00EF5843" w14:paraId="5BC06539" w14:textId="77777777" w:rsidTr="0042671C">
        <w:tc>
          <w:tcPr>
            <w:tcW w:w="3456" w:type="dxa"/>
          </w:tcPr>
          <w:p w14:paraId="2C0F58AA" w14:textId="77777777" w:rsidR="00EF5843" w:rsidRPr="00C13A5F" w:rsidRDefault="00EF5843" w:rsidP="0042671C">
            <w:pPr>
              <w:pStyle w:val="Infotext"/>
              <w:spacing w:after="240"/>
              <w:rPr>
                <w:rFonts w:ascii="Arial Black" w:hAnsi="Arial Black" w:cs="Arial"/>
              </w:rPr>
            </w:pPr>
            <w:r w:rsidRPr="00C13A5F">
              <w:rPr>
                <w:rFonts w:ascii="Arial Black" w:hAnsi="Arial Black" w:cs="Arial"/>
              </w:rPr>
              <w:t>Enclosures:</w:t>
            </w:r>
          </w:p>
        </w:tc>
        <w:tc>
          <w:tcPr>
            <w:tcW w:w="5054" w:type="dxa"/>
          </w:tcPr>
          <w:p w14:paraId="7FC4B9F4" w14:textId="77777777" w:rsidR="00EF5843" w:rsidRPr="00B37833" w:rsidRDefault="00EF5843" w:rsidP="00EF5843">
            <w:pPr>
              <w:rPr>
                <w:rFonts w:cs="Arial"/>
                <w:szCs w:val="24"/>
              </w:rPr>
            </w:pPr>
            <w:r>
              <w:rPr>
                <w:rFonts w:cs="Arial"/>
                <w:szCs w:val="24"/>
              </w:rPr>
              <w:t>Appendix 1 – Summary of Grants 2021-22</w:t>
            </w:r>
          </w:p>
          <w:p w14:paraId="391EB6B5" w14:textId="77777777" w:rsidR="00EF5843" w:rsidRPr="00B37833" w:rsidRDefault="00EF5843" w:rsidP="00EF5843">
            <w:pPr>
              <w:rPr>
                <w:rFonts w:cs="Arial"/>
                <w:szCs w:val="24"/>
              </w:rPr>
            </w:pPr>
            <w:r w:rsidRPr="00B37833">
              <w:rPr>
                <w:rFonts w:cs="Arial"/>
                <w:szCs w:val="24"/>
              </w:rPr>
              <w:t xml:space="preserve">Appendix </w:t>
            </w:r>
            <w:r>
              <w:rPr>
                <w:rFonts w:cs="Arial"/>
                <w:szCs w:val="24"/>
              </w:rPr>
              <w:t>2</w:t>
            </w:r>
            <w:r w:rsidRPr="00B37833">
              <w:rPr>
                <w:rFonts w:cs="Arial"/>
                <w:szCs w:val="24"/>
              </w:rPr>
              <w:t xml:space="preserve"> – Summary of Carry Forwards 2021-22</w:t>
            </w:r>
          </w:p>
          <w:p w14:paraId="6A541B56" w14:textId="77777777" w:rsidR="00EF5843" w:rsidRPr="00B37833" w:rsidRDefault="00EF5843" w:rsidP="00EF5843">
            <w:pPr>
              <w:rPr>
                <w:rFonts w:cs="Arial"/>
                <w:szCs w:val="24"/>
              </w:rPr>
            </w:pPr>
            <w:r w:rsidRPr="00B37833">
              <w:rPr>
                <w:rFonts w:cs="Arial"/>
                <w:szCs w:val="24"/>
              </w:rPr>
              <w:t xml:space="preserve">Appendix </w:t>
            </w:r>
            <w:r>
              <w:rPr>
                <w:rFonts w:cs="Arial"/>
                <w:szCs w:val="24"/>
              </w:rPr>
              <w:t>3</w:t>
            </w:r>
            <w:r w:rsidRPr="00B37833">
              <w:rPr>
                <w:rFonts w:cs="Arial"/>
                <w:szCs w:val="24"/>
              </w:rPr>
              <w:t xml:space="preserve"> – Savings Tracker 2021-22</w:t>
            </w:r>
          </w:p>
          <w:p w14:paraId="37A9AD6D" w14:textId="77777777" w:rsidR="00EF5843" w:rsidRPr="00B37833" w:rsidRDefault="00EF5843" w:rsidP="00EF5843">
            <w:pPr>
              <w:pStyle w:val="Infotext"/>
              <w:rPr>
                <w:rFonts w:cs="Arial"/>
                <w:sz w:val="24"/>
                <w:szCs w:val="24"/>
              </w:rPr>
            </w:pPr>
            <w:r w:rsidRPr="00B37833">
              <w:rPr>
                <w:rFonts w:cs="Arial"/>
                <w:sz w:val="24"/>
                <w:szCs w:val="24"/>
              </w:rPr>
              <w:t xml:space="preserve">Appendix </w:t>
            </w:r>
            <w:r>
              <w:rPr>
                <w:rFonts w:cs="Arial"/>
                <w:sz w:val="24"/>
                <w:szCs w:val="24"/>
              </w:rPr>
              <w:t>4</w:t>
            </w:r>
            <w:r w:rsidRPr="00B37833">
              <w:rPr>
                <w:rFonts w:cs="Arial"/>
                <w:sz w:val="24"/>
                <w:szCs w:val="24"/>
              </w:rPr>
              <w:t xml:space="preserve"> – Capital Programme</w:t>
            </w:r>
            <w:r w:rsidRPr="00B37833">
              <w:rPr>
                <w:rFonts w:cs="Arial"/>
                <w:szCs w:val="24"/>
              </w:rPr>
              <w:t xml:space="preserve"> </w:t>
            </w:r>
            <w:r w:rsidRPr="00B37833">
              <w:rPr>
                <w:rFonts w:cs="Arial"/>
                <w:sz w:val="24"/>
                <w:szCs w:val="24"/>
              </w:rPr>
              <w:t>2021-22</w:t>
            </w:r>
          </w:p>
          <w:p w14:paraId="036EF9C1" w14:textId="77777777" w:rsidR="00EF5843" w:rsidRPr="00B37833" w:rsidRDefault="00EF5843" w:rsidP="00EF5843">
            <w:pPr>
              <w:pStyle w:val="Infotext"/>
              <w:rPr>
                <w:rFonts w:cs="Arial"/>
                <w:sz w:val="24"/>
                <w:szCs w:val="24"/>
              </w:rPr>
            </w:pPr>
            <w:r w:rsidRPr="00B37833">
              <w:rPr>
                <w:rFonts w:cs="Arial"/>
                <w:sz w:val="24"/>
                <w:szCs w:val="24"/>
              </w:rPr>
              <w:t xml:space="preserve">Appendix </w:t>
            </w:r>
            <w:r>
              <w:rPr>
                <w:rFonts w:cs="Arial"/>
                <w:sz w:val="24"/>
                <w:szCs w:val="24"/>
              </w:rPr>
              <w:t>5</w:t>
            </w:r>
            <w:r w:rsidRPr="00B37833">
              <w:rPr>
                <w:rFonts w:cs="Arial"/>
                <w:sz w:val="24"/>
                <w:szCs w:val="24"/>
              </w:rPr>
              <w:t xml:space="preserve"> – Trading Company Update 2021-22</w:t>
            </w:r>
          </w:p>
          <w:p w14:paraId="38E246BC" w14:textId="6B6AEAF5" w:rsidR="00EF5843" w:rsidRPr="005E3A10" w:rsidRDefault="00EF5843" w:rsidP="0042671C">
            <w:pPr>
              <w:pStyle w:val="Infotext"/>
              <w:rPr>
                <w:color w:val="FF0000"/>
                <w:sz w:val="24"/>
                <w:szCs w:val="24"/>
              </w:rPr>
            </w:pPr>
          </w:p>
        </w:tc>
      </w:tr>
    </w:tbl>
    <w:p w14:paraId="2182597C" w14:textId="7EF82E1E" w:rsidR="00EF5843" w:rsidRDefault="00EF5843"/>
    <w:tbl>
      <w:tblPr>
        <w:tblW w:w="9464" w:type="dxa"/>
        <w:tblLook w:val="0000" w:firstRow="0" w:lastRow="0" w:firstColumn="0" w:lastColumn="0" w:noHBand="0" w:noVBand="0"/>
      </w:tblPr>
      <w:tblGrid>
        <w:gridCol w:w="142"/>
        <w:gridCol w:w="3314"/>
        <w:gridCol w:w="6008"/>
      </w:tblGrid>
      <w:tr w:rsidR="00B37833" w:rsidRPr="00B37833" w14:paraId="19A099B8" w14:textId="77777777" w:rsidTr="003634DA">
        <w:tc>
          <w:tcPr>
            <w:tcW w:w="3456" w:type="dxa"/>
            <w:gridSpan w:val="2"/>
          </w:tcPr>
          <w:p w14:paraId="7DF5D60C" w14:textId="77777777" w:rsidR="00EF5843" w:rsidRDefault="00EF5843" w:rsidP="003634DA">
            <w:pPr>
              <w:pStyle w:val="Infotext"/>
              <w:jc w:val="both"/>
              <w:rPr>
                <w:rFonts w:ascii="Arial Black" w:hAnsi="Arial Black" w:cs="Arial"/>
              </w:rPr>
            </w:pPr>
          </w:p>
          <w:p w14:paraId="2F3B1A2B" w14:textId="77777777" w:rsidR="00EF5843" w:rsidRDefault="00EF5843" w:rsidP="003634DA">
            <w:pPr>
              <w:pStyle w:val="Infotext"/>
              <w:jc w:val="both"/>
              <w:rPr>
                <w:rFonts w:ascii="Arial Black" w:hAnsi="Arial Black" w:cs="Arial"/>
              </w:rPr>
            </w:pPr>
          </w:p>
          <w:p w14:paraId="674FFDEA" w14:textId="77777777" w:rsidR="00EF5843" w:rsidRDefault="00EF5843" w:rsidP="003634DA">
            <w:pPr>
              <w:pStyle w:val="Infotext"/>
              <w:jc w:val="both"/>
              <w:rPr>
                <w:rFonts w:ascii="Arial Black" w:hAnsi="Arial Black" w:cs="Arial"/>
              </w:rPr>
            </w:pPr>
          </w:p>
          <w:p w14:paraId="09BF3CCA" w14:textId="77777777" w:rsidR="00EF5843" w:rsidRDefault="00EF5843" w:rsidP="003634DA">
            <w:pPr>
              <w:pStyle w:val="Infotext"/>
              <w:jc w:val="both"/>
              <w:rPr>
                <w:rFonts w:ascii="Arial Black" w:hAnsi="Arial Black" w:cs="Arial"/>
              </w:rPr>
            </w:pPr>
          </w:p>
          <w:p w14:paraId="73F54121" w14:textId="77777777" w:rsidR="00EF5843" w:rsidRDefault="00EF5843" w:rsidP="003634DA">
            <w:pPr>
              <w:pStyle w:val="Infotext"/>
              <w:jc w:val="both"/>
              <w:rPr>
                <w:rFonts w:ascii="Arial Black" w:hAnsi="Arial Black" w:cs="Arial"/>
              </w:rPr>
            </w:pPr>
          </w:p>
          <w:p w14:paraId="34C5BF70" w14:textId="77777777" w:rsidR="00EF5843" w:rsidRDefault="00EF5843" w:rsidP="003634DA">
            <w:pPr>
              <w:pStyle w:val="Infotext"/>
              <w:jc w:val="both"/>
              <w:rPr>
                <w:rFonts w:ascii="Arial Black" w:hAnsi="Arial Black" w:cs="Arial"/>
              </w:rPr>
            </w:pPr>
          </w:p>
          <w:p w14:paraId="45F26359" w14:textId="77777777" w:rsidR="00EF5843" w:rsidRDefault="00EF5843" w:rsidP="003634DA">
            <w:pPr>
              <w:pStyle w:val="Infotext"/>
              <w:jc w:val="both"/>
              <w:rPr>
                <w:rFonts w:ascii="Arial Black" w:hAnsi="Arial Black" w:cs="Arial"/>
              </w:rPr>
            </w:pPr>
          </w:p>
          <w:p w14:paraId="138AA43C" w14:textId="77777777" w:rsidR="00EF5843" w:rsidRDefault="00EF5843" w:rsidP="003634DA">
            <w:pPr>
              <w:pStyle w:val="Infotext"/>
              <w:jc w:val="both"/>
              <w:rPr>
                <w:rFonts w:ascii="Arial Black" w:hAnsi="Arial Black" w:cs="Arial"/>
              </w:rPr>
            </w:pPr>
          </w:p>
          <w:p w14:paraId="3B2D0915" w14:textId="77777777" w:rsidR="00EF5843" w:rsidRDefault="00EF5843" w:rsidP="003634DA">
            <w:pPr>
              <w:pStyle w:val="Infotext"/>
              <w:jc w:val="both"/>
              <w:rPr>
                <w:rFonts w:ascii="Arial Black" w:hAnsi="Arial Black" w:cs="Arial"/>
              </w:rPr>
            </w:pPr>
          </w:p>
          <w:p w14:paraId="1E80962B" w14:textId="48CB529C" w:rsidR="00EF5843" w:rsidRPr="00B37833" w:rsidRDefault="00EF5843" w:rsidP="003634DA">
            <w:pPr>
              <w:pStyle w:val="Infotext"/>
              <w:jc w:val="both"/>
              <w:rPr>
                <w:rFonts w:ascii="Arial Black" w:hAnsi="Arial Black" w:cs="Arial"/>
              </w:rPr>
            </w:pPr>
          </w:p>
        </w:tc>
        <w:tc>
          <w:tcPr>
            <w:tcW w:w="6008" w:type="dxa"/>
          </w:tcPr>
          <w:p w14:paraId="58B457FE" w14:textId="77777777" w:rsidR="001C7E35" w:rsidRPr="00B37833" w:rsidRDefault="001C7E35" w:rsidP="003634DA">
            <w:pPr>
              <w:pStyle w:val="Infotext"/>
              <w:jc w:val="both"/>
              <w:rPr>
                <w:sz w:val="24"/>
                <w:szCs w:val="24"/>
              </w:rPr>
            </w:pPr>
          </w:p>
        </w:tc>
      </w:tr>
      <w:tr w:rsidR="00B37833" w:rsidRPr="00B37833" w14:paraId="2AD700D9" w14:textId="77777777" w:rsidTr="00EF5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tcBorders>
              <w:top w:val="nil"/>
              <w:left w:val="nil"/>
              <w:right w:val="nil"/>
            </w:tcBorders>
          </w:tcPr>
          <w:p w14:paraId="5C2FA4ED" w14:textId="0F73BC96" w:rsidR="00333FAA" w:rsidRPr="00B37833" w:rsidRDefault="00333FAA" w:rsidP="00EF5843">
            <w:pPr>
              <w:pStyle w:val="Heading1"/>
              <w:jc w:val="both"/>
              <w:rPr>
                <w:color w:val="FF0000"/>
              </w:rPr>
            </w:pPr>
            <w:r w:rsidRPr="00B37833">
              <w:lastRenderedPageBreak/>
              <w:t>Section 1 – Summary and Recommendations</w:t>
            </w:r>
          </w:p>
        </w:tc>
      </w:tr>
      <w:tr w:rsidR="00333FAA" w:rsidRPr="00B37833" w14:paraId="1FB28782" w14:textId="77777777" w:rsidTr="00EF5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9322" w:type="dxa"/>
            <w:gridSpan w:val="2"/>
          </w:tcPr>
          <w:p w14:paraId="1403028E" w14:textId="49C35139" w:rsidR="00F505C5" w:rsidRPr="00B37833" w:rsidRDefault="00F505C5" w:rsidP="003634DA">
            <w:pPr>
              <w:jc w:val="both"/>
              <w:rPr>
                <w:bCs/>
              </w:rPr>
            </w:pPr>
            <w:r w:rsidRPr="00B37833">
              <w:t xml:space="preserve">This report sets out the Council’s </w:t>
            </w:r>
            <w:r w:rsidR="00825082" w:rsidRPr="00B37833">
              <w:t>final revenue and capital outturn position for 202</w:t>
            </w:r>
            <w:r w:rsidR="00B37833" w:rsidRPr="00B37833">
              <w:t>1-22</w:t>
            </w:r>
            <w:r w:rsidR="00D71F49" w:rsidRPr="00B37833">
              <w:rPr>
                <w:bCs/>
              </w:rPr>
              <w:t>.</w:t>
            </w:r>
            <w:r w:rsidR="00B11849" w:rsidRPr="00B37833">
              <w:rPr>
                <w:bCs/>
              </w:rPr>
              <w:t xml:space="preserve"> </w:t>
            </w:r>
          </w:p>
          <w:p w14:paraId="5285CDA3" w14:textId="77777777" w:rsidR="00F505C5" w:rsidRPr="00B37833" w:rsidRDefault="00F505C5" w:rsidP="003634DA">
            <w:pPr>
              <w:jc w:val="both"/>
              <w:rPr>
                <w:b/>
                <w:bCs/>
                <w:u w:val="single"/>
              </w:rPr>
            </w:pPr>
          </w:p>
          <w:p w14:paraId="722ECE10" w14:textId="180809A5" w:rsidR="00F505C5" w:rsidRDefault="00F505C5" w:rsidP="003634DA">
            <w:pPr>
              <w:jc w:val="both"/>
              <w:rPr>
                <w:b/>
                <w:bCs/>
              </w:rPr>
            </w:pPr>
            <w:r w:rsidRPr="00EF5843">
              <w:rPr>
                <w:b/>
                <w:bCs/>
              </w:rPr>
              <w:t xml:space="preserve">Recommendations: </w:t>
            </w:r>
          </w:p>
          <w:p w14:paraId="0766B2F2" w14:textId="7F97CD3B" w:rsidR="00EF5843" w:rsidRPr="00EF5843" w:rsidRDefault="00EF5843" w:rsidP="003634DA">
            <w:pPr>
              <w:jc w:val="both"/>
            </w:pPr>
            <w:r w:rsidRPr="00EF5843">
              <w:t>Cabinet is requested to:</w:t>
            </w:r>
          </w:p>
          <w:p w14:paraId="08A43294" w14:textId="77777777" w:rsidR="00F505C5" w:rsidRPr="00B37833" w:rsidRDefault="00F505C5" w:rsidP="003634DA">
            <w:pPr>
              <w:jc w:val="both"/>
            </w:pPr>
          </w:p>
          <w:p w14:paraId="4DD0010F" w14:textId="3AFC1620" w:rsidR="00E81EEA" w:rsidRPr="00D071BB" w:rsidRDefault="00EF5843" w:rsidP="007A4D31">
            <w:pPr>
              <w:numPr>
                <w:ilvl w:val="0"/>
                <w:numId w:val="4"/>
              </w:numPr>
              <w:jc w:val="both"/>
            </w:pPr>
            <w:r>
              <w:t>N</w:t>
            </w:r>
            <w:r w:rsidR="00F505C5" w:rsidRPr="00D071BB">
              <w:t xml:space="preserve">ote the revenue and capital </w:t>
            </w:r>
            <w:r w:rsidR="00825082" w:rsidRPr="00D071BB">
              <w:t>outturn</w:t>
            </w:r>
            <w:r w:rsidR="00F505C5" w:rsidRPr="00D071BB">
              <w:t xml:space="preserve"> positions set out </w:t>
            </w:r>
            <w:r w:rsidR="00517C7D" w:rsidRPr="00D071BB">
              <w:t>in</w:t>
            </w:r>
            <w:r w:rsidR="00F505C5" w:rsidRPr="00D071BB">
              <w:t xml:space="preserve"> paragraph</w:t>
            </w:r>
            <w:r w:rsidR="00517C7D" w:rsidRPr="00D071BB">
              <w:t>s</w:t>
            </w:r>
            <w:r w:rsidR="0008678F" w:rsidRPr="00D071BB">
              <w:t xml:space="preserve"> 1.</w:t>
            </w:r>
            <w:r w:rsidR="00E82957" w:rsidRPr="00D071BB">
              <w:t>2</w:t>
            </w:r>
            <w:r w:rsidR="00CF1E61" w:rsidRPr="00D071BB">
              <w:t xml:space="preserve"> </w:t>
            </w:r>
            <w:r w:rsidR="00F90841" w:rsidRPr="00D071BB">
              <w:t xml:space="preserve">and </w:t>
            </w:r>
            <w:r w:rsidR="00CF1E61" w:rsidRPr="00D071BB">
              <w:t>1.</w:t>
            </w:r>
            <w:r w:rsidR="00966427" w:rsidRPr="00D071BB">
              <w:t>3</w:t>
            </w:r>
            <w:r w:rsidR="000860A6" w:rsidRPr="00D071BB">
              <w:t>.</w:t>
            </w:r>
          </w:p>
          <w:p w14:paraId="2F90CFE3" w14:textId="77777777" w:rsidR="00E81EEA" w:rsidRPr="00D071BB" w:rsidRDefault="00E81EEA" w:rsidP="00E81EEA">
            <w:pPr>
              <w:ind w:left="720"/>
              <w:jc w:val="both"/>
            </w:pPr>
          </w:p>
          <w:p w14:paraId="1B83B30D" w14:textId="3FDDC05F" w:rsidR="000D66AA" w:rsidRPr="00D071BB" w:rsidRDefault="00EF5843" w:rsidP="007A4D31">
            <w:pPr>
              <w:numPr>
                <w:ilvl w:val="0"/>
                <w:numId w:val="4"/>
              </w:numPr>
              <w:jc w:val="both"/>
            </w:pPr>
            <w:r>
              <w:t>A</w:t>
            </w:r>
            <w:r w:rsidR="000D66AA" w:rsidRPr="00D071BB">
              <w:t>pprove the proposed</w:t>
            </w:r>
            <w:r w:rsidR="005002A9" w:rsidRPr="00D071BB">
              <w:t xml:space="preserve"> </w:t>
            </w:r>
            <w:r w:rsidR="00D071BB" w:rsidRPr="00D071BB">
              <w:t>additions</w:t>
            </w:r>
            <w:r w:rsidR="000D66AA" w:rsidRPr="00D071BB">
              <w:t xml:space="preserve"> </w:t>
            </w:r>
            <w:r w:rsidR="00246B9B">
              <w:t xml:space="preserve">and amendments </w:t>
            </w:r>
            <w:r w:rsidR="000D66AA" w:rsidRPr="00D071BB">
              <w:t>to the Capital Programme as set out in paragraph</w:t>
            </w:r>
            <w:r w:rsidR="00D71F49" w:rsidRPr="00D071BB">
              <w:t xml:space="preserve">s </w:t>
            </w:r>
            <w:r w:rsidR="00D373C8" w:rsidRPr="00D071BB">
              <w:t>3.</w:t>
            </w:r>
            <w:r w:rsidR="00C75F94" w:rsidRPr="00D071BB">
              <w:t>3</w:t>
            </w:r>
            <w:r w:rsidR="009C523F" w:rsidRPr="00D071BB">
              <w:t>3 to 3.</w:t>
            </w:r>
            <w:r w:rsidR="00E41F8A" w:rsidRPr="00D071BB">
              <w:t>4</w:t>
            </w:r>
            <w:r w:rsidR="00246B9B">
              <w:t>4</w:t>
            </w:r>
          </w:p>
          <w:p w14:paraId="38D2D838" w14:textId="77777777" w:rsidR="000D66AA" w:rsidRPr="00B37833" w:rsidRDefault="000D66AA" w:rsidP="003634DA">
            <w:pPr>
              <w:pStyle w:val="ListParagraph"/>
            </w:pPr>
          </w:p>
          <w:p w14:paraId="6B1F0064" w14:textId="2662E51B" w:rsidR="009B2C8F" w:rsidRPr="00B37833" w:rsidRDefault="00EF5843" w:rsidP="007A4D31">
            <w:pPr>
              <w:numPr>
                <w:ilvl w:val="0"/>
                <w:numId w:val="4"/>
              </w:numPr>
              <w:jc w:val="both"/>
            </w:pPr>
            <w:r>
              <w:t>N</w:t>
            </w:r>
            <w:r w:rsidR="000D66AA" w:rsidRPr="00B37833">
              <w:t xml:space="preserve">ote </w:t>
            </w:r>
            <w:r w:rsidR="00825082" w:rsidRPr="00B37833">
              <w:t>the</w:t>
            </w:r>
            <w:r w:rsidR="000D66AA" w:rsidRPr="00B37833">
              <w:t xml:space="preserve"> Council’s Trading Update as detailed in Appendix </w:t>
            </w:r>
            <w:r w:rsidR="008C77BE">
              <w:t>5</w:t>
            </w:r>
            <w:r w:rsidR="000D66AA" w:rsidRPr="00B37833">
              <w:t>.</w:t>
            </w:r>
          </w:p>
          <w:p w14:paraId="33048BAE" w14:textId="77777777" w:rsidR="00B37833" w:rsidRDefault="00B37833" w:rsidP="00B37833">
            <w:pPr>
              <w:pStyle w:val="ListParagraph"/>
              <w:rPr>
                <w:color w:val="FF0000"/>
              </w:rPr>
            </w:pPr>
          </w:p>
          <w:p w14:paraId="2C813DBD" w14:textId="77777777" w:rsidR="005641E0" w:rsidRPr="00EF5843" w:rsidRDefault="001C7E35" w:rsidP="003634DA">
            <w:pPr>
              <w:pStyle w:val="Heading2"/>
              <w:jc w:val="both"/>
              <w:rPr>
                <w:sz w:val="24"/>
                <w:szCs w:val="28"/>
              </w:rPr>
            </w:pPr>
            <w:r w:rsidRPr="00EF5843">
              <w:rPr>
                <w:sz w:val="24"/>
                <w:szCs w:val="28"/>
              </w:rPr>
              <w:t>Reason</w:t>
            </w:r>
            <w:proofErr w:type="gramStart"/>
            <w:r w:rsidRPr="00EF5843">
              <w:rPr>
                <w:sz w:val="24"/>
                <w:szCs w:val="28"/>
              </w:rPr>
              <w:t>:  (</w:t>
            </w:r>
            <w:proofErr w:type="gramEnd"/>
            <w:r w:rsidRPr="00EF5843">
              <w:rPr>
                <w:sz w:val="24"/>
                <w:szCs w:val="28"/>
              </w:rPr>
              <w:t>For recommendation</w:t>
            </w:r>
            <w:r w:rsidR="00714BEE" w:rsidRPr="00EF5843">
              <w:rPr>
                <w:sz w:val="24"/>
                <w:szCs w:val="28"/>
              </w:rPr>
              <w:t>s</w:t>
            </w:r>
            <w:r w:rsidRPr="00EF5843">
              <w:rPr>
                <w:sz w:val="24"/>
                <w:szCs w:val="28"/>
              </w:rPr>
              <w:t>)</w:t>
            </w:r>
            <w:r w:rsidR="00312B7A" w:rsidRPr="00EF5843">
              <w:rPr>
                <w:sz w:val="24"/>
                <w:szCs w:val="28"/>
              </w:rPr>
              <w:t xml:space="preserve"> </w:t>
            </w:r>
          </w:p>
          <w:p w14:paraId="752A3DF8" w14:textId="1980114A" w:rsidR="00F505C5" w:rsidRPr="00B37833" w:rsidRDefault="00F505C5" w:rsidP="003634DA">
            <w:pPr>
              <w:jc w:val="both"/>
            </w:pPr>
            <w:r w:rsidRPr="00B37833">
              <w:t>To report the 20</w:t>
            </w:r>
            <w:r w:rsidR="00C607DA" w:rsidRPr="00B37833">
              <w:t>2</w:t>
            </w:r>
            <w:r w:rsidR="00B37833" w:rsidRPr="00B37833">
              <w:t>1-22</w:t>
            </w:r>
            <w:r w:rsidRPr="00B37833">
              <w:t xml:space="preserve"> financial </w:t>
            </w:r>
            <w:r w:rsidR="00825082" w:rsidRPr="00B37833">
              <w:t xml:space="preserve">outturn </w:t>
            </w:r>
            <w:r w:rsidRPr="00B37833">
              <w:t>position</w:t>
            </w:r>
            <w:r w:rsidR="00825082" w:rsidRPr="00B37833">
              <w:t xml:space="preserve"> and </w:t>
            </w:r>
            <w:r w:rsidR="00381A1C" w:rsidRPr="00B37833">
              <w:t xml:space="preserve">to update Cabinet on </w:t>
            </w:r>
            <w:r w:rsidR="00070FDB" w:rsidRPr="00B37833">
              <w:t>t</w:t>
            </w:r>
            <w:r w:rsidR="00381A1C" w:rsidRPr="00B37833">
              <w:t xml:space="preserve">rading </w:t>
            </w:r>
            <w:r w:rsidR="00D71F49" w:rsidRPr="00B37833">
              <w:t xml:space="preserve">company </w:t>
            </w:r>
            <w:r w:rsidR="00381A1C" w:rsidRPr="00B37833">
              <w:t>performance</w:t>
            </w:r>
            <w:r w:rsidR="00825082" w:rsidRPr="00B37833">
              <w:t>.</w:t>
            </w:r>
          </w:p>
          <w:p w14:paraId="1D534CB5" w14:textId="77777777" w:rsidR="00333FAA" w:rsidRPr="00B37833" w:rsidRDefault="00333FAA" w:rsidP="003634DA">
            <w:pPr>
              <w:pStyle w:val="Heading2"/>
              <w:jc w:val="both"/>
              <w:rPr>
                <w:color w:val="FF0000"/>
              </w:rPr>
            </w:pPr>
          </w:p>
        </w:tc>
      </w:tr>
    </w:tbl>
    <w:p w14:paraId="1F2B0944" w14:textId="77777777" w:rsidR="008940FC" w:rsidRPr="00B37833" w:rsidRDefault="008940FC" w:rsidP="003634DA">
      <w:pPr>
        <w:pStyle w:val="Heading1"/>
        <w:jc w:val="both"/>
        <w:rPr>
          <w:color w:val="FF0000"/>
        </w:rPr>
      </w:pPr>
    </w:p>
    <w:p w14:paraId="3C326E6C" w14:textId="77777777" w:rsidR="00333FAA" w:rsidRPr="00B37833" w:rsidRDefault="00333FAA" w:rsidP="003634DA">
      <w:pPr>
        <w:pStyle w:val="Heading1"/>
        <w:jc w:val="both"/>
      </w:pPr>
      <w:r w:rsidRPr="00B37833">
        <w:t>Section 2 – Report</w:t>
      </w:r>
    </w:p>
    <w:p w14:paraId="75C2F062" w14:textId="77777777" w:rsidR="005641E0" w:rsidRPr="00B37833" w:rsidRDefault="005641E0" w:rsidP="00DB648D">
      <w:pPr>
        <w:jc w:val="both"/>
        <w:rPr>
          <w:rFonts w:cs="Arial"/>
          <w:szCs w:val="24"/>
        </w:rPr>
      </w:pPr>
    </w:p>
    <w:p w14:paraId="528CE6EC" w14:textId="77777777" w:rsidR="005641E0" w:rsidRPr="00EF5843" w:rsidRDefault="006739F8" w:rsidP="00C75F94">
      <w:pPr>
        <w:numPr>
          <w:ilvl w:val="0"/>
          <w:numId w:val="1"/>
        </w:numPr>
        <w:tabs>
          <w:tab w:val="left" w:pos="0"/>
        </w:tabs>
        <w:ind w:left="567" w:hanging="567"/>
        <w:jc w:val="both"/>
        <w:rPr>
          <w:rFonts w:cs="Arial"/>
          <w:b/>
          <w:bCs/>
          <w:szCs w:val="24"/>
        </w:rPr>
      </w:pPr>
      <w:r w:rsidRPr="00EF5843">
        <w:rPr>
          <w:rFonts w:cs="Arial"/>
          <w:b/>
          <w:bCs/>
          <w:szCs w:val="24"/>
        </w:rPr>
        <w:t>INTRODUCTION</w:t>
      </w:r>
    </w:p>
    <w:p w14:paraId="59CC7CC4" w14:textId="77777777" w:rsidR="003E2127" w:rsidRPr="00B37833" w:rsidRDefault="003E2127" w:rsidP="003634DA">
      <w:pPr>
        <w:ind w:left="567"/>
        <w:jc w:val="both"/>
        <w:rPr>
          <w:rFonts w:cs="Arial"/>
          <w:b/>
          <w:bCs/>
          <w:szCs w:val="24"/>
          <w:u w:val="single"/>
        </w:rPr>
      </w:pPr>
    </w:p>
    <w:p w14:paraId="4E7D25AD" w14:textId="7BE91B8C" w:rsidR="00513EC1" w:rsidRPr="00B37833" w:rsidRDefault="00513EC1" w:rsidP="00825082">
      <w:pPr>
        <w:pStyle w:val="ListParagraph"/>
        <w:numPr>
          <w:ilvl w:val="0"/>
          <w:numId w:val="1"/>
        </w:numPr>
        <w:ind w:left="567" w:hanging="567"/>
        <w:contextualSpacing/>
        <w:jc w:val="both"/>
        <w:rPr>
          <w:rFonts w:cs="Arial"/>
          <w:szCs w:val="24"/>
        </w:rPr>
      </w:pPr>
      <w:r w:rsidRPr="00B37833">
        <w:rPr>
          <w:rFonts w:cs="Arial"/>
          <w:szCs w:val="24"/>
        </w:rPr>
        <w:t xml:space="preserve">This is the </w:t>
      </w:r>
      <w:r w:rsidR="00825082" w:rsidRPr="00B37833">
        <w:rPr>
          <w:rFonts w:cs="Arial"/>
          <w:szCs w:val="24"/>
        </w:rPr>
        <w:t xml:space="preserve">final budget </w:t>
      </w:r>
      <w:r w:rsidR="004325F9" w:rsidRPr="00B37833">
        <w:rPr>
          <w:rFonts w:cs="Arial"/>
          <w:szCs w:val="24"/>
        </w:rPr>
        <w:t>monitoring</w:t>
      </w:r>
      <w:r w:rsidRPr="00B37833">
        <w:rPr>
          <w:rFonts w:cs="Arial"/>
          <w:szCs w:val="24"/>
        </w:rPr>
        <w:t xml:space="preserve"> report for 202</w:t>
      </w:r>
      <w:r w:rsidR="00B37833" w:rsidRPr="00B37833">
        <w:rPr>
          <w:rFonts w:cs="Arial"/>
          <w:szCs w:val="24"/>
        </w:rPr>
        <w:t>1-22</w:t>
      </w:r>
      <w:r w:rsidRPr="00B37833">
        <w:rPr>
          <w:rFonts w:cs="Arial"/>
          <w:szCs w:val="24"/>
        </w:rPr>
        <w:t xml:space="preserve">.  </w:t>
      </w:r>
    </w:p>
    <w:p w14:paraId="16E3B1D3" w14:textId="77777777" w:rsidR="00825082" w:rsidRPr="00B37833" w:rsidRDefault="00825082" w:rsidP="00825082">
      <w:pPr>
        <w:contextualSpacing/>
        <w:jc w:val="both"/>
        <w:rPr>
          <w:rFonts w:cs="Arial"/>
          <w:szCs w:val="24"/>
        </w:rPr>
      </w:pPr>
    </w:p>
    <w:p w14:paraId="387D2BF5" w14:textId="77777777" w:rsidR="003B40B3" w:rsidRDefault="00A50427" w:rsidP="003B40B3">
      <w:pPr>
        <w:pStyle w:val="ListParagraph"/>
        <w:numPr>
          <w:ilvl w:val="0"/>
          <w:numId w:val="1"/>
        </w:numPr>
        <w:ind w:left="567" w:hanging="567"/>
        <w:contextualSpacing/>
        <w:jc w:val="both"/>
        <w:rPr>
          <w:rFonts w:cs="Arial"/>
          <w:szCs w:val="24"/>
        </w:rPr>
      </w:pPr>
      <w:r w:rsidRPr="00B37833">
        <w:rPr>
          <w:rFonts w:cs="Arial"/>
          <w:szCs w:val="24"/>
        </w:rPr>
        <w:t xml:space="preserve">The </w:t>
      </w:r>
      <w:r w:rsidR="00825082" w:rsidRPr="00B37833">
        <w:rPr>
          <w:rFonts w:cs="Arial"/>
          <w:szCs w:val="24"/>
        </w:rPr>
        <w:t>final outturn on the revenue budget for 202</w:t>
      </w:r>
      <w:r w:rsidR="00B37833" w:rsidRPr="00B37833">
        <w:rPr>
          <w:rFonts w:cs="Arial"/>
          <w:szCs w:val="24"/>
        </w:rPr>
        <w:t>1-22</w:t>
      </w:r>
      <w:r w:rsidR="00AE7033" w:rsidRPr="00B37833">
        <w:rPr>
          <w:rFonts w:cs="Arial"/>
          <w:szCs w:val="24"/>
        </w:rPr>
        <w:t xml:space="preserve">, </w:t>
      </w:r>
      <w:r w:rsidRPr="00B37833">
        <w:rPr>
          <w:rFonts w:cs="Arial"/>
          <w:szCs w:val="24"/>
        </w:rPr>
        <w:t xml:space="preserve">after the planned use of reserves which are largely applied to fund one-off projects and cross divisional adjustments including one-off </w:t>
      </w:r>
      <w:r w:rsidR="00B37833" w:rsidRPr="00B37833">
        <w:rPr>
          <w:rFonts w:cs="Arial"/>
          <w:szCs w:val="24"/>
        </w:rPr>
        <w:t>income,</w:t>
      </w:r>
      <w:r w:rsidR="00825082" w:rsidRPr="00B37833">
        <w:rPr>
          <w:rFonts w:cs="Arial"/>
          <w:szCs w:val="24"/>
        </w:rPr>
        <w:t xml:space="preserve"> is a balanced position</w:t>
      </w:r>
      <w:r w:rsidR="00796E32" w:rsidRPr="00B37833">
        <w:rPr>
          <w:rFonts w:cs="Arial"/>
          <w:szCs w:val="24"/>
        </w:rPr>
        <w:t xml:space="preserve"> after transfers to reserves</w:t>
      </w:r>
      <w:r w:rsidR="00AE7033" w:rsidRPr="00B37833">
        <w:rPr>
          <w:rFonts w:cs="Arial"/>
          <w:szCs w:val="24"/>
        </w:rPr>
        <w:t>.</w:t>
      </w:r>
    </w:p>
    <w:p w14:paraId="350C2E92" w14:textId="77777777" w:rsidR="003B40B3" w:rsidRPr="003B40B3" w:rsidRDefault="003B40B3" w:rsidP="003B40B3">
      <w:pPr>
        <w:pStyle w:val="ListParagraph"/>
        <w:rPr>
          <w:rFonts w:cs="Arial"/>
          <w:bCs/>
          <w:szCs w:val="24"/>
        </w:rPr>
      </w:pPr>
    </w:p>
    <w:p w14:paraId="7EA9466E" w14:textId="76D8E049" w:rsidR="003B40B3" w:rsidRPr="003B40B3" w:rsidRDefault="003B40B3" w:rsidP="003B40B3">
      <w:pPr>
        <w:pStyle w:val="ListParagraph"/>
        <w:numPr>
          <w:ilvl w:val="0"/>
          <w:numId w:val="1"/>
        </w:numPr>
        <w:ind w:left="567" w:hanging="567"/>
        <w:contextualSpacing/>
        <w:jc w:val="both"/>
        <w:rPr>
          <w:rFonts w:cs="Arial"/>
          <w:szCs w:val="24"/>
        </w:rPr>
      </w:pPr>
      <w:r w:rsidRPr="003B40B3">
        <w:rPr>
          <w:rFonts w:cs="Arial"/>
          <w:bCs/>
          <w:szCs w:val="24"/>
        </w:rPr>
        <w:t>The final spend</w:t>
      </w:r>
      <w:r w:rsidR="008D0129">
        <w:rPr>
          <w:rFonts w:cs="Arial"/>
          <w:bCs/>
          <w:szCs w:val="24"/>
        </w:rPr>
        <w:t xml:space="preserve"> on </w:t>
      </w:r>
      <w:r w:rsidR="002A75E8">
        <w:rPr>
          <w:rFonts w:cs="Arial"/>
          <w:bCs/>
          <w:szCs w:val="24"/>
        </w:rPr>
        <w:t>the Capita</w:t>
      </w:r>
      <w:r w:rsidR="00B82086">
        <w:rPr>
          <w:rFonts w:cs="Arial"/>
          <w:bCs/>
          <w:szCs w:val="24"/>
        </w:rPr>
        <w:t>l Programme</w:t>
      </w:r>
      <w:r w:rsidRPr="003B40B3">
        <w:rPr>
          <w:rFonts w:cs="Arial"/>
          <w:bCs/>
          <w:szCs w:val="24"/>
        </w:rPr>
        <w:t xml:space="preserve"> is £74.646m, 35% of the </w:t>
      </w:r>
      <w:proofErr w:type="gramStart"/>
      <w:r w:rsidRPr="003B40B3">
        <w:rPr>
          <w:rFonts w:cs="Arial"/>
          <w:bCs/>
          <w:szCs w:val="24"/>
        </w:rPr>
        <w:t>total  budget</w:t>
      </w:r>
      <w:proofErr w:type="gramEnd"/>
      <w:r w:rsidRPr="003B40B3">
        <w:rPr>
          <w:rFonts w:cs="Arial"/>
          <w:bCs/>
          <w:szCs w:val="24"/>
        </w:rPr>
        <w:t xml:space="preserve">. The final spend on the General Fund is £44.117m, (39% of budget). The variance of £69.758m is made up of proposed slippage of £64.626m and a net underspend of £5.132m. </w:t>
      </w:r>
    </w:p>
    <w:p w14:paraId="3EFFD8B5" w14:textId="77777777" w:rsidR="003B40B3" w:rsidRPr="003B40B3" w:rsidRDefault="003B40B3" w:rsidP="003B40B3">
      <w:pPr>
        <w:pStyle w:val="ListParagraph"/>
        <w:rPr>
          <w:rFonts w:cs="Arial"/>
          <w:bCs/>
          <w:szCs w:val="24"/>
        </w:rPr>
      </w:pPr>
    </w:p>
    <w:p w14:paraId="5349444F" w14:textId="0FBA71B8" w:rsidR="003B40B3" w:rsidRPr="003B40B3" w:rsidRDefault="003B40B3" w:rsidP="003B40B3">
      <w:pPr>
        <w:pStyle w:val="ListParagraph"/>
        <w:numPr>
          <w:ilvl w:val="0"/>
          <w:numId w:val="1"/>
        </w:numPr>
        <w:ind w:left="567" w:hanging="567"/>
        <w:contextualSpacing/>
        <w:jc w:val="both"/>
        <w:rPr>
          <w:rFonts w:cs="Arial"/>
          <w:szCs w:val="24"/>
        </w:rPr>
      </w:pPr>
      <w:r w:rsidRPr="003B40B3">
        <w:rPr>
          <w:rFonts w:cs="Arial"/>
          <w:bCs/>
          <w:szCs w:val="24"/>
        </w:rPr>
        <w:t>The final spend on the Housing Revenue Account is £30.529m (30% of the budget).  The variance on the HRA of £72.116m is made up of budget realignment of £51.980m agreed by Cabinet in February 2022, proposed slippage of £18.322m and an underspend of £1.815m.</w:t>
      </w:r>
    </w:p>
    <w:p w14:paraId="212B029F" w14:textId="77777777" w:rsidR="006716EB" w:rsidRPr="00B37833" w:rsidRDefault="006716EB" w:rsidP="006716EB">
      <w:pPr>
        <w:contextualSpacing/>
        <w:jc w:val="both"/>
        <w:rPr>
          <w:rFonts w:cs="Arial"/>
          <w:color w:val="FF0000"/>
          <w:szCs w:val="24"/>
        </w:rPr>
      </w:pPr>
    </w:p>
    <w:p w14:paraId="7360CF00" w14:textId="77777777" w:rsidR="005475D3" w:rsidRDefault="00472810" w:rsidP="005475D3">
      <w:pPr>
        <w:pStyle w:val="ListParagraph"/>
        <w:numPr>
          <w:ilvl w:val="0"/>
          <w:numId w:val="5"/>
        </w:numPr>
        <w:ind w:left="567" w:hanging="567"/>
        <w:jc w:val="both"/>
        <w:rPr>
          <w:rFonts w:cs="Arial"/>
          <w:b/>
          <w:szCs w:val="24"/>
          <w:u w:val="single"/>
        </w:rPr>
      </w:pPr>
      <w:r w:rsidRPr="00B37833">
        <w:rPr>
          <w:rFonts w:cs="Arial"/>
          <w:b/>
          <w:szCs w:val="24"/>
          <w:u w:val="single"/>
        </w:rPr>
        <w:t>REVENUE MONITORING</w:t>
      </w:r>
    </w:p>
    <w:p w14:paraId="5DC5A216" w14:textId="77777777" w:rsidR="005475D3" w:rsidRDefault="005475D3" w:rsidP="005475D3">
      <w:pPr>
        <w:pStyle w:val="ListParagraph"/>
        <w:ind w:left="567"/>
        <w:jc w:val="both"/>
        <w:rPr>
          <w:rFonts w:cs="Arial"/>
          <w:b/>
          <w:szCs w:val="24"/>
          <w:u w:val="single"/>
        </w:rPr>
      </w:pPr>
    </w:p>
    <w:p w14:paraId="52EA0561" w14:textId="495A50A2" w:rsidR="005475D3" w:rsidRDefault="004E537F" w:rsidP="006A200B">
      <w:pPr>
        <w:jc w:val="both"/>
        <w:rPr>
          <w:rFonts w:cs="Arial"/>
          <w:bCs/>
          <w:szCs w:val="24"/>
        </w:rPr>
      </w:pPr>
      <w:r w:rsidRPr="005475D3">
        <w:rPr>
          <w:rFonts w:cs="Arial"/>
          <w:bCs/>
          <w:szCs w:val="24"/>
        </w:rPr>
        <w:t xml:space="preserve">The </w:t>
      </w:r>
      <w:r w:rsidR="00381A1C" w:rsidRPr="005475D3">
        <w:rPr>
          <w:rFonts w:cs="Arial"/>
          <w:bCs/>
          <w:szCs w:val="24"/>
        </w:rPr>
        <w:t>r</w:t>
      </w:r>
      <w:r w:rsidRPr="005475D3">
        <w:rPr>
          <w:rFonts w:cs="Arial"/>
          <w:bCs/>
          <w:szCs w:val="24"/>
        </w:rPr>
        <w:t xml:space="preserve">evenue </w:t>
      </w:r>
      <w:r w:rsidR="00825082" w:rsidRPr="005475D3">
        <w:rPr>
          <w:rFonts w:cs="Arial"/>
          <w:bCs/>
          <w:szCs w:val="24"/>
        </w:rPr>
        <w:t xml:space="preserve">outturn position is balanced </w:t>
      </w:r>
      <w:r w:rsidR="00566F47" w:rsidRPr="005475D3">
        <w:rPr>
          <w:rFonts w:cs="Arial"/>
          <w:bCs/>
          <w:szCs w:val="24"/>
        </w:rPr>
        <w:t>following transfers to reserves</w:t>
      </w:r>
      <w:r w:rsidR="005B6656" w:rsidRPr="005475D3">
        <w:rPr>
          <w:rFonts w:cs="Arial"/>
          <w:bCs/>
          <w:szCs w:val="24"/>
        </w:rPr>
        <w:t>.</w:t>
      </w:r>
      <w:r w:rsidR="00503384" w:rsidRPr="005475D3">
        <w:rPr>
          <w:rFonts w:cs="Arial"/>
          <w:bCs/>
          <w:szCs w:val="24"/>
        </w:rPr>
        <w:t xml:space="preserve"> </w:t>
      </w:r>
      <w:r w:rsidRPr="005475D3">
        <w:rPr>
          <w:rFonts w:cs="Arial"/>
          <w:bCs/>
          <w:szCs w:val="24"/>
        </w:rPr>
        <w:t>The summary of the</w:t>
      </w:r>
      <w:r w:rsidR="00825082" w:rsidRPr="005475D3">
        <w:rPr>
          <w:rFonts w:cs="Arial"/>
          <w:bCs/>
          <w:szCs w:val="24"/>
        </w:rPr>
        <w:t xml:space="preserve"> outturn</w:t>
      </w:r>
      <w:r w:rsidRPr="005475D3">
        <w:rPr>
          <w:rFonts w:cs="Arial"/>
          <w:bCs/>
          <w:szCs w:val="24"/>
        </w:rPr>
        <w:t xml:space="preserve"> by </w:t>
      </w:r>
      <w:r w:rsidR="00B457DF" w:rsidRPr="005475D3">
        <w:rPr>
          <w:rFonts w:cs="Arial"/>
          <w:bCs/>
          <w:szCs w:val="24"/>
        </w:rPr>
        <w:t xml:space="preserve">each </w:t>
      </w:r>
      <w:r w:rsidRPr="005475D3">
        <w:rPr>
          <w:rFonts w:cs="Arial"/>
          <w:bCs/>
          <w:szCs w:val="24"/>
        </w:rPr>
        <w:t xml:space="preserve">division is </w:t>
      </w:r>
      <w:r w:rsidR="00F539B5" w:rsidRPr="005475D3">
        <w:rPr>
          <w:rFonts w:cs="Arial"/>
          <w:bCs/>
          <w:szCs w:val="24"/>
        </w:rPr>
        <w:t xml:space="preserve">set </w:t>
      </w:r>
      <w:r w:rsidR="004325F9" w:rsidRPr="005475D3">
        <w:rPr>
          <w:rFonts w:cs="Arial"/>
          <w:bCs/>
          <w:szCs w:val="24"/>
        </w:rPr>
        <w:t>out in</w:t>
      </w:r>
      <w:r w:rsidRPr="005475D3">
        <w:rPr>
          <w:rFonts w:cs="Arial"/>
          <w:bCs/>
          <w:szCs w:val="24"/>
        </w:rPr>
        <w:t xml:space="preserve"> </w:t>
      </w:r>
      <w:r w:rsidR="00F539B5" w:rsidRPr="005475D3">
        <w:rPr>
          <w:rFonts w:cs="Arial"/>
          <w:bCs/>
          <w:szCs w:val="24"/>
        </w:rPr>
        <w:t>Table 1</w:t>
      </w:r>
      <w:r w:rsidR="003C315C">
        <w:rPr>
          <w:rFonts w:cs="Arial"/>
          <w:bCs/>
          <w:szCs w:val="24"/>
        </w:rPr>
        <w:t>.</w:t>
      </w:r>
    </w:p>
    <w:p w14:paraId="219378E0" w14:textId="1186A88E" w:rsidR="005475D3" w:rsidRDefault="005475D3" w:rsidP="006A200B">
      <w:pPr>
        <w:jc w:val="both"/>
        <w:rPr>
          <w:rFonts w:cs="Arial"/>
          <w:bCs/>
          <w:szCs w:val="24"/>
        </w:rPr>
      </w:pPr>
    </w:p>
    <w:p w14:paraId="75FD03D8" w14:textId="77777777" w:rsidR="00EF5843" w:rsidRDefault="00EF5843" w:rsidP="006A200B">
      <w:pPr>
        <w:jc w:val="both"/>
        <w:rPr>
          <w:rFonts w:cs="Arial"/>
          <w:bCs/>
          <w:szCs w:val="24"/>
        </w:rPr>
      </w:pPr>
    </w:p>
    <w:p w14:paraId="6F56DFA3" w14:textId="76DD4455" w:rsidR="0055673A" w:rsidRPr="00B37833" w:rsidRDefault="00D122E9" w:rsidP="006A200B">
      <w:pPr>
        <w:jc w:val="both"/>
        <w:rPr>
          <w:rFonts w:cs="Arial"/>
          <w:b/>
          <w:szCs w:val="24"/>
          <w:u w:val="single"/>
        </w:rPr>
      </w:pPr>
      <w:r w:rsidRPr="00B37833">
        <w:rPr>
          <w:rFonts w:cs="Arial"/>
          <w:b/>
          <w:szCs w:val="24"/>
          <w:u w:val="single"/>
        </w:rPr>
        <w:t xml:space="preserve">Table 1: Summary of Revenue Budget Monitoring – </w:t>
      </w:r>
      <w:r w:rsidR="00825082" w:rsidRPr="00B37833">
        <w:rPr>
          <w:rFonts w:cs="Arial"/>
          <w:b/>
          <w:szCs w:val="24"/>
          <w:u w:val="single"/>
        </w:rPr>
        <w:t xml:space="preserve">final outturn </w:t>
      </w:r>
      <w:r w:rsidR="00B37833" w:rsidRPr="00B37833">
        <w:rPr>
          <w:rFonts w:cs="Arial"/>
          <w:b/>
          <w:szCs w:val="24"/>
          <w:u w:val="single"/>
        </w:rPr>
        <w:t>2021-22</w:t>
      </w:r>
    </w:p>
    <w:p w14:paraId="1437D7E7" w14:textId="77777777" w:rsidR="004E16FA" w:rsidRPr="00B37833" w:rsidRDefault="004E16FA" w:rsidP="006A200B">
      <w:pPr>
        <w:jc w:val="both"/>
        <w:rPr>
          <w:rFonts w:cs="Arial"/>
          <w:b/>
          <w:color w:val="FF0000"/>
          <w:szCs w:val="24"/>
          <w:u w:val="single"/>
        </w:rPr>
      </w:pPr>
    </w:p>
    <w:p w14:paraId="73517C87" w14:textId="68593661" w:rsidR="00B948C4" w:rsidRPr="00B37833" w:rsidRDefault="00605CEF" w:rsidP="00CA70AF">
      <w:pPr>
        <w:jc w:val="both"/>
        <w:rPr>
          <w:rFonts w:cs="Arial"/>
          <w:b/>
          <w:color w:val="FF0000"/>
          <w:szCs w:val="24"/>
          <w:u w:val="single"/>
        </w:rPr>
      </w:pPr>
      <w:r w:rsidRPr="00605CEF">
        <w:rPr>
          <w:noProof/>
        </w:rPr>
        <w:drawing>
          <wp:inline distT="0" distB="0" distL="0" distR="0" wp14:anchorId="02D8A109" wp14:editId="394C46DC">
            <wp:extent cx="6499257"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1369" cy="2648810"/>
                    </a:xfrm>
                    <a:prstGeom prst="rect">
                      <a:avLst/>
                    </a:prstGeom>
                    <a:noFill/>
                    <a:ln>
                      <a:noFill/>
                    </a:ln>
                  </pic:spPr>
                </pic:pic>
              </a:graphicData>
            </a:graphic>
          </wp:inline>
        </w:drawing>
      </w:r>
    </w:p>
    <w:p w14:paraId="355E7E91" w14:textId="77777777" w:rsidR="00EF5843" w:rsidRDefault="00EF5843" w:rsidP="003634DA">
      <w:pPr>
        <w:pStyle w:val="ListParagraph"/>
        <w:ind w:left="567"/>
        <w:jc w:val="both"/>
        <w:rPr>
          <w:rFonts w:cs="Arial"/>
          <w:b/>
          <w:szCs w:val="24"/>
        </w:rPr>
      </w:pPr>
      <w:bookmarkStart w:id="0" w:name="_Hlk48039303"/>
      <w:bookmarkStart w:id="1" w:name="_Hlk54352665"/>
      <w:bookmarkStart w:id="2" w:name="_Hlk62420623"/>
    </w:p>
    <w:p w14:paraId="45524674" w14:textId="77777777" w:rsidR="00EF5843" w:rsidRDefault="00EF5843" w:rsidP="003634DA">
      <w:pPr>
        <w:pStyle w:val="ListParagraph"/>
        <w:ind w:left="567"/>
        <w:jc w:val="both"/>
        <w:rPr>
          <w:rFonts w:cs="Arial"/>
          <w:b/>
          <w:szCs w:val="24"/>
        </w:rPr>
      </w:pPr>
    </w:p>
    <w:p w14:paraId="3B1C1755" w14:textId="052A5D84" w:rsidR="00F608F4" w:rsidRDefault="00F608F4" w:rsidP="003634DA">
      <w:pPr>
        <w:pStyle w:val="ListParagraph"/>
        <w:ind w:left="567"/>
        <w:jc w:val="both"/>
        <w:rPr>
          <w:rFonts w:cs="Arial"/>
          <w:b/>
          <w:szCs w:val="24"/>
        </w:rPr>
      </w:pPr>
      <w:r w:rsidRPr="00B37833">
        <w:rPr>
          <w:rFonts w:cs="Arial"/>
          <w:b/>
          <w:szCs w:val="24"/>
        </w:rPr>
        <w:t>RESOURCES</w:t>
      </w:r>
      <w:r w:rsidR="00094111" w:rsidRPr="00B37833">
        <w:rPr>
          <w:rFonts w:cs="Arial"/>
          <w:b/>
          <w:szCs w:val="24"/>
        </w:rPr>
        <w:t xml:space="preserve">  </w:t>
      </w:r>
    </w:p>
    <w:p w14:paraId="233F0938" w14:textId="44516390" w:rsidR="00007FDF" w:rsidRDefault="00007FDF" w:rsidP="00007FDF">
      <w:pPr>
        <w:jc w:val="both"/>
        <w:rPr>
          <w:rFonts w:cs="Arial"/>
          <w:b/>
          <w:color w:val="FF0000"/>
          <w:szCs w:val="24"/>
        </w:rPr>
      </w:pPr>
    </w:p>
    <w:p w14:paraId="01656A53" w14:textId="31C92146" w:rsidR="00007FDF" w:rsidRPr="00D665EB" w:rsidRDefault="00D665EB" w:rsidP="00007FDF">
      <w:pPr>
        <w:jc w:val="both"/>
        <w:rPr>
          <w:rFonts w:cs="Arial"/>
          <w:b/>
          <w:color w:val="FF0000"/>
          <w:szCs w:val="24"/>
          <w:u w:val="single"/>
        </w:rPr>
      </w:pPr>
      <w:r w:rsidRPr="00D665EB">
        <w:rPr>
          <w:rFonts w:cs="Arial"/>
          <w:b/>
          <w:szCs w:val="24"/>
          <w:u w:val="single"/>
        </w:rPr>
        <w:t>Table 2: Resources Revenue Outturn 2021-22</w:t>
      </w:r>
    </w:p>
    <w:p w14:paraId="3E324DF4" w14:textId="2AE556DB" w:rsidR="00007FDF" w:rsidRDefault="00007FDF" w:rsidP="00007FDF">
      <w:pPr>
        <w:jc w:val="both"/>
        <w:rPr>
          <w:rFonts w:cs="Arial"/>
          <w:b/>
          <w:color w:val="FF0000"/>
          <w:szCs w:val="24"/>
        </w:rPr>
      </w:pPr>
    </w:p>
    <w:p w14:paraId="3B41DD2F" w14:textId="77777777" w:rsidR="00007FDF" w:rsidRDefault="00007FDF" w:rsidP="00007FDF">
      <w:pPr>
        <w:jc w:val="both"/>
        <w:rPr>
          <w:rFonts w:cs="Arial"/>
          <w:b/>
          <w:color w:val="FF0000"/>
          <w:szCs w:val="24"/>
        </w:rPr>
      </w:pPr>
    </w:p>
    <w:tbl>
      <w:tblPr>
        <w:tblStyle w:val="TableGrid"/>
        <w:tblW w:w="10206" w:type="dxa"/>
        <w:tblInd w:w="-5" w:type="dxa"/>
        <w:tblLook w:val="04A0" w:firstRow="1" w:lastRow="0" w:firstColumn="1" w:lastColumn="0" w:noHBand="0" w:noVBand="1"/>
      </w:tblPr>
      <w:tblGrid>
        <w:gridCol w:w="2708"/>
        <w:gridCol w:w="905"/>
        <w:gridCol w:w="950"/>
        <w:gridCol w:w="1106"/>
        <w:gridCol w:w="1143"/>
        <w:gridCol w:w="1128"/>
        <w:gridCol w:w="1077"/>
        <w:gridCol w:w="1189"/>
      </w:tblGrid>
      <w:tr w:rsidR="00007FDF" w:rsidRPr="00421A1D" w14:paraId="480A678D" w14:textId="77777777" w:rsidTr="00F853C6">
        <w:tc>
          <w:tcPr>
            <w:tcW w:w="2708" w:type="dxa"/>
          </w:tcPr>
          <w:p w14:paraId="5ABF251B" w14:textId="77777777" w:rsidR="00007FDF" w:rsidRPr="00421A1D" w:rsidRDefault="00007FDF" w:rsidP="00F853C6">
            <w:pPr>
              <w:pStyle w:val="ListParagraph"/>
              <w:ind w:left="0"/>
              <w:jc w:val="both"/>
              <w:rPr>
                <w:rFonts w:cs="Arial"/>
                <w:b/>
                <w:sz w:val="20"/>
              </w:rPr>
            </w:pPr>
            <w:r w:rsidRPr="00421A1D">
              <w:rPr>
                <w:rFonts w:cs="Arial"/>
                <w:b/>
                <w:sz w:val="20"/>
              </w:rPr>
              <w:t>Division</w:t>
            </w:r>
          </w:p>
        </w:tc>
        <w:tc>
          <w:tcPr>
            <w:tcW w:w="905" w:type="dxa"/>
          </w:tcPr>
          <w:p w14:paraId="71FF5AD7" w14:textId="77777777" w:rsidR="00007FDF" w:rsidRPr="00421A1D" w:rsidRDefault="00007FDF" w:rsidP="00F853C6">
            <w:pPr>
              <w:pStyle w:val="ListParagraph"/>
              <w:ind w:left="0"/>
              <w:jc w:val="center"/>
              <w:rPr>
                <w:rFonts w:cs="Arial"/>
                <w:b/>
                <w:sz w:val="20"/>
              </w:rPr>
            </w:pPr>
            <w:r w:rsidRPr="00421A1D">
              <w:rPr>
                <w:rFonts w:cs="Arial"/>
                <w:b/>
                <w:sz w:val="20"/>
              </w:rPr>
              <w:t>Budget</w:t>
            </w:r>
          </w:p>
        </w:tc>
        <w:tc>
          <w:tcPr>
            <w:tcW w:w="950" w:type="dxa"/>
          </w:tcPr>
          <w:p w14:paraId="6C4CE8BB" w14:textId="77777777" w:rsidR="00007FDF" w:rsidRPr="00421A1D" w:rsidRDefault="00007FDF" w:rsidP="00F853C6">
            <w:pPr>
              <w:pStyle w:val="ListParagraph"/>
              <w:ind w:left="0"/>
              <w:jc w:val="center"/>
              <w:rPr>
                <w:rFonts w:cs="Arial"/>
                <w:b/>
                <w:sz w:val="20"/>
              </w:rPr>
            </w:pPr>
            <w:r w:rsidRPr="00421A1D">
              <w:rPr>
                <w:rFonts w:cs="Arial"/>
                <w:b/>
                <w:sz w:val="20"/>
              </w:rPr>
              <w:t>Outturn</w:t>
            </w:r>
          </w:p>
        </w:tc>
        <w:tc>
          <w:tcPr>
            <w:tcW w:w="1106" w:type="dxa"/>
          </w:tcPr>
          <w:p w14:paraId="5D894D3C" w14:textId="77777777" w:rsidR="00007FDF" w:rsidRPr="00421A1D" w:rsidRDefault="00007FDF" w:rsidP="00F853C6">
            <w:pPr>
              <w:pStyle w:val="ListParagraph"/>
              <w:ind w:left="0"/>
              <w:jc w:val="center"/>
              <w:rPr>
                <w:rFonts w:cs="Arial"/>
                <w:b/>
                <w:sz w:val="20"/>
              </w:rPr>
            </w:pPr>
            <w:r w:rsidRPr="00421A1D">
              <w:rPr>
                <w:rFonts w:cs="Arial"/>
                <w:b/>
                <w:sz w:val="20"/>
              </w:rPr>
              <w:t>To/ (From) Reserves</w:t>
            </w:r>
          </w:p>
        </w:tc>
        <w:tc>
          <w:tcPr>
            <w:tcW w:w="1143" w:type="dxa"/>
          </w:tcPr>
          <w:p w14:paraId="7764E803" w14:textId="77777777" w:rsidR="00007FDF" w:rsidRPr="00421A1D" w:rsidRDefault="00007FDF" w:rsidP="00F853C6">
            <w:pPr>
              <w:pStyle w:val="ListParagraph"/>
              <w:ind w:left="0"/>
              <w:jc w:val="center"/>
              <w:rPr>
                <w:rFonts w:cs="Arial"/>
                <w:b/>
                <w:sz w:val="20"/>
              </w:rPr>
            </w:pPr>
            <w:r w:rsidRPr="00421A1D">
              <w:rPr>
                <w:rFonts w:cs="Arial"/>
                <w:b/>
                <w:sz w:val="20"/>
              </w:rPr>
              <w:t xml:space="preserve">Cross divisional </w:t>
            </w:r>
            <w:proofErr w:type="spellStart"/>
            <w:r w:rsidRPr="00421A1D">
              <w:rPr>
                <w:rFonts w:cs="Arial"/>
                <w:b/>
                <w:sz w:val="20"/>
              </w:rPr>
              <w:t>adjmt</w:t>
            </w:r>
            <w:proofErr w:type="spellEnd"/>
          </w:p>
        </w:tc>
        <w:tc>
          <w:tcPr>
            <w:tcW w:w="1128" w:type="dxa"/>
          </w:tcPr>
          <w:p w14:paraId="7525A689" w14:textId="77777777" w:rsidR="00007FDF" w:rsidRPr="00421A1D" w:rsidRDefault="00007FDF" w:rsidP="00F853C6">
            <w:pPr>
              <w:pStyle w:val="ListParagraph"/>
              <w:ind w:left="0"/>
              <w:jc w:val="center"/>
              <w:rPr>
                <w:rFonts w:cs="Arial"/>
                <w:b/>
                <w:sz w:val="20"/>
              </w:rPr>
            </w:pPr>
            <w:r w:rsidRPr="00421A1D">
              <w:rPr>
                <w:rFonts w:cs="Arial"/>
                <w:b/>
                <w:sz w:val="20"/>
              </w:rPr>
              <w:t>Carry Forwards</w:t>
            </w:r>
          </w:p>
        </w:tc>
        <w:tc>
          <w:tcPr>
            <w:tcW w:w="1077" w:type="dxa"/>
          </w:tcPr>
          <w:p w14:paraId="4072C1E4" w14:textId="77777777" w:rsidR="00007FDF" w:rsidRPr="00421A1D" w:rsidRDefault="00007FDF" w:rsidP="00F853C6">
            <w:pPr>
              <w:pStyle w:val="ListParagraph"/>
              <w:ind w:left="0"/>
              <w:jc w:val="center"/>
              <w:rPr>
                <w:rFonts w:cs="Arial"/>
                <w:b/>
                <w:sz w:val="20"/>
              </w:rPr>
            </w:pPr>
            <w:r w:rsidRPr="00421A1D">
              <w:rPr>
                <w:rFonts w:cs="Arial"/>
                <w:b/>
                <w:sz w:val="20"/>
              </w:rPr>
              <w:t>Revised Outturn</w:t>
            </w:r>
          </w:p>
        </w:tc>
        <w:tc>
          <w:tcPr>
            <w:tcW w:w="1189" w:type="dxa"/>
          </w:tcPr>
          <w:p w14:paraId="0D8525DE" w14:textId="77777777" w:rsidR="00007FDF" w:rsidRPr="00421A1D" w:rsidRDefault="00007FDF" w:rsidP="00F853C6">
            <w:pPr>
              <w:pStyle w:val="ListParagraph"/>
              <w:ind w:left="0"/>
              <w:jc w:val="center"/>
              <w:rPr>
                <w:rFonts w:cs="Arial"/>
                <w:b/>
                <w:sz w:val="20"/>
              </w:rPr>
            </w:pPr>
            <w:r w:rsidRPr="00421A1D">
              <w:rPr>
                <w:rFonts w:cs="Arial"/>
                <w:b/>
                <w:sz w:val="20"/>
              </w:rPr>
              <w:t>Variance to budget</w:t>
            </w:r>
          </w:p>
        </w:tc>
      </w:tr>
      <w:tr w:rsidR="00007FDF" w:rsidRPr="00421A1D" w14:paraId="14F6E352" w14:textId="77777777" w:rsidTr="00F853C6">
        <w:tc>
          <w:tcPr>
            <w:tcW w:w="2708" w:type="dxa"/>
          </w:tcPr>
          <w:p w14:paraId="52336503" w14:textId="77777777" w:rsidR="00007FDF" w:rsidRPr="00421A1D" w:rsidRDefault="00007FDF" w:rsidP="00F853C6">
            <w:pPr>
              <w:pStyle w:val="ListParagraph"/>
              <w:ind w:left="0"/>
              <w:jc w:val="both"/>
              <w:rPr>
                <w:rFonts w:cs="Arial"/>
                <w:b/>
                <w:sz w:val="20"/>
              </w:rPr>
            </w:pPr>
          </w:p>
        </w:tc>
        <w:tc>
          <w:tcPr>
            <w:tcW w:w="905" w:type="dxa"/>
          </w:tcPr>
          <w:p w14:paraId="18B7074C"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950" w:type="dxa"/>
          </w:tcPr>
          <w:p w14:paraId="409FB4F8"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1106" w:type="dxa"/>
          </w:tcPr>
          <w:p w14:paraId="49EE5713"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1143" w:type="dxa"/>
          </w:tcPr>
          <w:p w14:paraId="578F4A98"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1128" w:type="dxa"/>
          </w:tcPr>
          <w:p w14:paraId="2F2D8921"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1077" w:type="dxa"/>
          </w:tcPr>
          <w:p w14:paraId="00F27DA6" w14:textId="77777777" w:rsidR="00007FDF" w:rsidRPr="00421A1D" w:rsidRDefault="00007FDF" w:rsidP="00F853C6">
            <w:pPr>
              <w:pStyle w:val="ListParagraph"/>
              <w:ind w:left="0"/>
              <w:jc w:val="center"/>
              <w:rPr>
                <w:rFonts w:cs="Arial"/>
                <w:b/>
                <w:sz w:val="20"/>
              </w:rPr>
            </w:pPr>
            <w:r w:rsidRPr="00421A1D">
              <w:rPr>
                <w:rFonts w:cs="Arial"/>
                <w:b/>
                <w:sz w:val="20"/>
              </w:rPr>
              <w:t>£000</w:t>
            </w:r>
          </w:p>
        </w:tc>
        <w:tc>
          <w:tcPr>
            <w:tcW w:w="1189" w:type="dxa"/>
          </w:tcPr>
          <w:p w14:paraId="71CB07CB" w14:textId="77777777" w:rsidR="00007FDF" w:rsidRPr="00421A1D" w:rsidRDefault="00007FDF" w:rsidP="00F853C6">
            <w:pPr>
              <w:pStyle w:val="ListParagraph"/>
              <w:ind w:left="0"/>
              <w:jc w:val="center"/>
              <w:rPr>
                <w:rFonts w:cs="Arial"/>
                <w:b/>
                <w:sz w:val="20"/>
              </w:rPr>
            </w:pPr>
            <w:r w:rsidRPr="00421A1D">
              <w:rPr>
                <w:rFonts w:cs="Arial"/>
                <w:b/>
                <w:sz w:val="20"/>
              </w:rPr>
              <w:t>£000</w:t>
            </w:r>
          </w:p>
        </w:tc>
      </w:tr>
      <w:tr w:rsidR="00421A1D" w:rsidRPr="00421A1D" w14:paraId="7CD63DAE" w14:textId="77777777" w:rsidTr="002D1AF8">
        <w:tc>
          <w:tcPr>
            <w:tcW w:w="2708" w:type="dxa"/>
            <w:shd w:val="clear" w:color="auto" w:fill="auto"/>
            <w:vAlign w:val="center"/>
          </w:tcPr>
          <w:p w14:paraId="5E7B8772" w14:textId="01EB5039" w:rsidR="00421A1D" w:rsidRPr="00421A1D" w:rsidRDefault="00421A1D" w:rsidP="00421A1D">
            <w:pPr>
              <w:pStyle w:val="ListParagraph"/>
              <w:ind w:left="0"/>
              <w:rPr>
                <w:rFonts w:cs="Arial"/>
                <w:bCs/>
                <w:sz w:val="20"/>
              </w:rPr>
            </w:pPr>
            <w:r w:rsidRPr="00421A1D">
              <w:rPr>
                <w:rFonts w:cs="Arial"/>
                <w:bCs/>
                <w:color w:val="000000"/>
                <w:sz w:val="20"/>
              </w:rPr>
              <w:t>Business Support</w:t>
            </w:r>
          </w:p>
        </w:tc>
        <w:tc>
          <w:tcPr>
            <w:tcW w:w="905" w:type="dxa"/>
            <w:shd w:val="clear" w:color="000000" w:fill="FFFFFF"/>
          </w:tcPr>
          <w:p w14:paraId="44080545" w14:textId="42A7AF9A" w:rsidR="00421A1D" w:rsidRPr="00421A1D" w:rsidRDefault="00421A1D" w:rsidP="00421A1D">
            <w:pPr>
              <w:pStyle w:val="ListParagraph"/>
              <w:ind w:left="0"/>
              <w:jc w:val="right"/>
              <w:rPr>
                <w:rFonts w:cs="Arial"/>
                <w:bCs/>
                <w:sz w:val="20"/>
              </w:rPr>
            </w:pPr>
            <w:r w:rsidRPr="00421A1D">
              <w:rPr>
                <w:sz w:val="20"/>
              </w:rPr>
              <w:t>3,338</w:t>
            </w:r>
          </w:p>
        </w:tc>
        <w:tc>
          <w:tcPr>
            <w:tcW w:w="950" w:type="dxa"/>
            <w:shd w:val="clear" w:color="000000" w:fill="FFFFFF"/>
          </w:tcPr>
          <w:p w14:paraId="02BEEE47" w14:textId="0146D96B" w:rsidR="00421A1D" w:rsidRPr="00421A1D" w:rsidRDefault="00421A1D" w:rsidP="00421A1D">
            <w:pPr>
              <w:pStyle w:val="ListParagraph"/>
              <w:ind w:left="0"/>
              <w:jc w:val="right"/>
              <w:rPr>
                <w:rFonts w:cs="Arial"/>
                <w:bCs/>
                <w:sz w:val="20"/>
              </w:rPr>
            </w:pPr>
            <w:r w:rsidRPr="00421A1D">
              <w:rPr>
                <w:sz w:val="20"/>
              </w:rPr>
              <w:t>3,291</w:t>
            </w:r>
          </w:p>
        </w:tc>
        <w:tc>
          <w:tcPr>
            <w:tcW w:w="1106" w:type="dxa"/>
            <w:shd w:val="clear" w:color="000000" w:fill="FFFFFF"/>
          </w:tcPr>
          <w:p w14:paraId="71C7D4D5" w14:textId="6C482C06" w:rsidR="00421A1D" w:rsidRPr="00421A1D" w:rsidRDefault="00421A1D" w:rsidP="00421A1D">
            <w:pPr>
              <w:pStyle w:val="ListParagraph"/>
              <w:ind w:left="0"/>
              <w:jc w:val="right"/>
              <w:rPr>
                <w:rFonts w:cs="Arial"/>
                <w:bCs/>
                <w:sz w:val="20"/>
              </w:rPr>
            </w:pPr>
            <w:r w:rsidRPr="00421A1D">
              <w:rPr>
                <w:sz w:val="20"/>
              </w:rPr>
              <w:t>0</w:t>
            </w:r>
          </w:p>
        </w:tc>
        <w:tc>
          <w:tcPr>
            <w:tcW w:w="1143" w:type="dxa"/>
            <w:shd w:val="clear" w:color="000000" w:fill="FFFFFF"/>
          </w:tcPr>
          <w:p w14:paraId="1A3CF4AE" w14:textId="1D0D1282" w:rsidR="00421A1D" w:rsidRPr="00421A1D" w:rsidRDefault="00421A1D" w:rsidP="00421A1D">
            <w:pPr>
              <w:pStyle w:val="ListParagraph"/>
              <w:ind w:left="0"/>
              <w:jc w:val="right"/>
              <w:rPr>
                <w:rFonts w:cs="Arial"/>
                <w:bCs/>
                <w:sz w:val="20"/>
              </w:rPr>
            </w:pPr>
            <w:r w:rsidRPr="00421A1D">
              <w:rPr>
                <w:sz w:val="20"/>
              </w:rPr>
              <w:t>0</w:t>
            </w:r>
          </w:p>
        </w:tc>
        <w:tc>
          <w:tcPr>
            <w:tcW w:w="1128" w:type="dxa"/>
            <w:shd w:val="clear" w:color="000000" w:fill="FFFFFF"/>
          </w:tcPr>
          <w:p w14:paraId="2F838703" w14:textId="24921104" w:rsidR="00421A1D" w:rsidRPr="00421A1D" w:rsidRDefault="00421A1D" w:rsidP="00421A1D">
            <w:pPr>
              <w:pStyle w:val="ListParagraph"/>
              <w:ind w:left="0"/>
              <w:jc w:val="right"/>
              <w:rPr>
                <w:rFonts w:cs="Arial"/>
                <w:bCs/>
                <w:sz w:val="20"/>
              </w:rPr>
            </w:pPr>
            <w:r w:rsidRPr="00421A1D">
              <w:rPr>
                <w:sz w:val="20"/>
              </w:rPr>
              <w:t>0</w:t>
            </w:r>
          </w:p>
        </w:tc>
        <w:tc>
          <w:tcPr>
            <w:tcW w:w="1077" w:type="dxa"/>
            <w:shd w:val="clear" w:color="auto" w:fill="auto"/>
          </w:tcPr>
          <w:p w14:paraId="63DF42B9" w14:textId="26EDB597" w:rsidR="00421A1D" w:rsidRPr="00421A1D" w:rsidRDefault="00421A1D" w:rsidP="00421A1D">
            <w:pPr>
              <w:pStyle w:val="ListParagraph"/>
              <w:ind w:left="0"/>
              <w:jc w:val="right"/>
              <w:rPr>
                <w:rFonts w:cs="Arial"/>
                <w:bCs/>
                <w:sz w:val="20"/>
              </w:rPr>
            </w:pPr>
            <w:r w:rsidRPr="00421A1D">
              <w:rPr>
                <w:sz w:val="20"/>
              </w:rPr>
              <w:t>3,291</w:t>
            </w:r>
          </w:p>
        </w:tc>
        <w:tc>
          <w:tcPr>
            <w:tcW w:w="1189" w:type="dxa"/>
            <w:shd w:val="clear" w:color="000000" w:fill="F2F2F2"/>
          </w:tcPr>
          <w:p w14:paraId="070F9BBC" w14:textId="50494870" w:rsidR="00421A1D" w:rsidRPr="00421A1D" w:rsidRDefault="00421A1D" w:rsidP="00421A1D">
            <w:pPr>
              <w:pStyle w:val="ListParagraph"/>
              <w:ind w:left="0"/>
              <w:jc w:val="right"/>
              <w:rPr>
                <w:rFonts w:cs="Arial"/>
                <w:bCs/>
                <w:sz w:val="20"/>
              </w:rPr>
            </w:pPr>
            <w:r w:rsidRPr="00421A1D">
              <w:rPr>
                <w:sz w:val="20"/>
              </w:rPr>
              <w:t>-47</w:t>
            </w:r>
          </w:p>
        </w:tc>
      </w:tr>
      <w:tr w:rsidR="00421A1D" w:rsidRPr="00421A1D" w14:paraId="60A8721F" w14:textId="77777777" w:rsidTr="002D1AF8">
        <w:tc>
          <w:tcPr>
            <w:tcW w:w="2708" w:type="dxa"/>
            <w:shd w:val="clear" w:color="auto" w:fill="auto"/>
            <w:vAlign w:val="center"/>
          </w:tcPr>
          <w:p w14:paraId="420939DE" w14:textId="3B57C35F" w:rsidR="00421A1D" w:rsidRPr="00421A1D" w:rsidRDefault="00421A1D" w:rsidP="00421A1D">
            <w:pPr>
              <w:pStyle w:val="ListParagraph"/>
              <w:ind w:left="0"/>
              <w:rPr>
                <w:rFonts w:cs="Arial"/>
                <w:bCs/>
                <w:sz w:val="20"/>
              </w:rPr>
            </w:pPr>
            <w:r w:rsidRPr="00421A1D">
              <w:rPr>
                <w:rFonts w:cs="Arial"/>
                <w:bCs/>
                <w:color w:val="000000"/>
                <w:sz w:val="20"/>
              </w:rPr>
              <w:t>Finance &amp; Insurance</w:t>
            </w:r>
          </w:p>
        </w:tc>
        <w:tc>
          <w:tcPr>
            <w:tcW w:w="905" w:type="dxa"/>
            <w:shd w:val="clear" w:color="000000" w:fill="FFFFFF"/>
          </w:tcPr>
          <w:p w14:paraId="76FDC4A6" w14:textId="3718496A" w:rsidR="00421A1D" w:rsidRPr="00421A1D" w:rsidRDefault="00421A1D" w:rsidP="00421A1D">
            <w:pPr>
              <w:pStyle w:val="ListParagraph"/>
              <w:ind w:left="0"/>
              <w:jc w:val="right"/>
              <w:rPr>
                <w:rFonts w:cs="Arial"/>
                <w:bCs/>
                <w:sz w:val="20"/>
              </w:rPr>
            </w:pPr>
            <w:r w:rsidRPr="00421A1D">
              <w:rPr>
                <w:sz w:val="20"/>
              </w:rPr>
              <w:t>3,336</w:t>
            </w:r>
          </w:p>
        </w:tc>
        <w:tc>
          <w:tcPr>
            <w:tcW w:w="950" w:type="dxa"/>
            <w:shd w:val="clear" w:color="000000" w:fill="FFFFFF"/>
          </w:tcPr>
          <w:p w14:paraId="006E0DB1" w14:textId="5D04808D" w:rsidR="00421A1D" w:rsidRPr="00421A1D" w:rsidRDefault="00421A1D" w:rsidP="00421A1D">
            <w:pPr>
              <w:pStyle w:val="ListParagraph"/>
              <w:ind w:left="0"/>
              <w:jc w:val="right"/>
              <w:rPr>
                <w:rFonts w:cs="Arial"/>
                <w:bCs/>
                <w:sz w:val="20"/>
              </w:rPr>
            </w:pPr>
            <w:r w:rsidRPr="00421A1D">
              <w:rPr>
                <w:sz w:val="20"/>
              </w:rPr>
              <w:t>3,370</w:t>
            </w:r>
          </w:p>
        </w:tc>
        <w:tc>
          <w:tcPr>
            <w:tcW w:w="1106" w:type="dxa"/>
            <w:shd w:val="clear" w:color="000000" w:fill="FFFFFF"/>
          </w:tcPr>
          <w:p w14:paraId="190FFCAB" w14:textId="5BF14F26" w:rsidR="00421A1D" w:rsidRPr="00421A1D" w:rsidRDefault="00421A1D" w:rsidP="00421A1D">
            <w:pPr>
              <w:pStyle w:val="ListParagraph"/>
              <w:ind w:left="0"/>
              <w:jc w:val="right"/>
              <w:rPr>
                <w:rFonts w:cs="Arial"/>
                <w:bCs/>
                <w:sz w:val="20"/>
              </w:rPr>
            </w:pPr>
            <w:r w:rsidRPr="00421A1D">
              <w:rPr>
                <w:sz w:val="20"/>
              </w:rPr>
              <w:t>0</w:t>
            </w:r>
          </w:p>
        </w:tc>
        <w:tc>
          <w:tcPr>
            <w:tcW w:w="1143" w:type="dxa"/>
            <w:shd w:val="clear" w:color="000000" w:fill="FFFFFF"/>
          </w:tcPr>
          <w:p w14:paraId="155CFCE6" w14:textId="7B5F2553" w:rsidR="00421A1D" w:rsidRPr="00421A1D" w:rsidRDefault="00421A1D" w:rsidP="00421A1D">
            <w:pPr>
              <w:pStyle w:val="ListParagraph"/>
              <w:ind w:left="0"/>
              <w:jc w:val="right"/>
              <w:rPr>
                <w:rFonts w:cs="Arial"/>
                <w:bCs/>
                <w:sz w:val="20"/>
              </w:rPr>
            </w:pPr>
            <w:r w:rsidRPr="00421A1D">
              <w:rPr>
                <w:sz w:val="20"/>
              </w:rPr>
              <w:t>0</w:t>
            </w:r>
          </w:p>
        </w:tc>
        <w:tc>
          <w:tcPr>
            <w:tcW w:w="1128" w:type="dxa"/>
            <w:shd w:val="clear" w:color="000000" w:fill="FFFFFF"/>
          </w:tcPr>
          <w:p w14:paraId="2B5EBB31" w14:textId="6FBE2015" w:rsidR="00421A1D" w:rsidRPr="00421A1D" w:rsidRDefault="00421A1D" w:rsidP="00421A1D">
            <w:pPr>
              <w:pStyle w:val="ListParagraph"/>
              <w:ind w:left="0"/>
              <w:jc w:val="right"/>
              <w:rPr>
                <w:rFonts w:cs="Arial"/>
                <w:bCs/>
                <w:sz w:val="20"/>
              </w:rPr>
            </w:pPr>
            <w:r w:rsidRPr="00421A1D">
              <w:rPr>
                <w:sz w:val="20"/>
              </w:rPr>
              <w:t>0</w:t>
            </w:r>
          </w:p>
        </w:tc>
        <w:tc>
          <w:tcPr>
            <w:tcW w:w="1077" w:type="dxa"/>
            <w:shd w:val="clear" w:color="auto" w:fill="auto"/>
          </w:tcPr>
          <w:p w14:paraId="6C400866" w14:textId="4EEDF405" w:rsidR="00421A1D" w:rsidRPr="00421A1D" w:rsidRDefault="00421A1D" w:rsidP="00421A1D">
            <w:pPr>
              <w:pStyle w:val="ListParagraph"/>
              <w:ind w:left="0"/>
              <w:jc w:val="right"/>
              <w:rPr>
                <w:rFonts w:cs="Arial"/>
                <w:bCs/>
                <w:sz w:val="20"/>
              </w:rPr>
            </w:pPr>
            <w:r w:rsidRPr="00421A1D">
              <w:rPr>
                <w:sz w:val="20"/>
              </w:rPr>
              <w:t>3,370</w:t>
            </w:r>
          </w:p>
        </w:tc>
        <w:tc>
          <w:tcPr>
            <w:tcW w:w="1189" w:type="dxa"/>
            <w:shd w:val="clear" w:color="000000" w:fill="F2F2F2"/>
          </w:tcPr>
          <w:p w14:paraId="6F8F1F16" w14:textId="26D91B4A" w:rsidR="00421A1D" w:rsidRPr="00421A1D" w:rsidRDefault="00421A1D" w:rsidP="00421A1D">
            <w:pPr>
              <w:pStyle w:val="ListParagraph"/>
              <w:ind w:left="0"/>
              <w:jc w:val="right"/>
              <w:rPr>
                <w:rFonts w:cs="Arial"/>
                <w:bCs/>
                <w:sz w:val="20"/>
              </w:rPr>
            </w:pPr>
            <w:r w:rsidRPr="00421A1D">
              <w:rPr>
                <w:sz w:val="20"/>
              </w:rPr>
              <w:t>34</w:t>
            </w:r>
          </w:p>
        </w:tc>
      </w:tr>
      <w:tr w:rsidR="00421A1D" w:rsidRPr="00421A1D" w14:paraId="100A53C2" w14:textId="77777777" w:rsidTr="002D1AF8">
        <w:tc>
          <w:tcPr>
            <w:tcW w:w="2708" w:type="dxa"/>
            <w:shd w:val="clear" w:color="auto" w:fill="auto"/>
            <w:vAlign w:val="center"/>
          </w:tcPr>
          <w:p w14:paraId="392EF517" w14:textId="7F91852C" w:rsidR="00421A1D" w:rsidRPr="00421A1D" w:rsidRDefault="00421A1D" w:rsidP="00421A1D">
            <w:pPr>
              <w:pStyle w:val="ListParagraph"/>
              <w:ind w:left="0"/>
              <w:jc w:val="both"/>
              <w:rPr>
                <w:rFonts w:cs="Arial"/>
                <w:bCs/>
                <w:sz w:val="20"/>
              </w:rPr>
            </w:pPr>
            <w:r w:rsidRPr="00421A1D">
              <w:rPr>
                <w:rFonts w:cs="Arial"/>
                <w:bCs/>
                <w:color w:val="000000"/>
                <w:sz w:val="20"/>
              </w:rPr>
              <w:t>Management</w:t>
            </w:r>
          </w:p>
        </w:tc>
        <w:tc>
          <w:tcPr>
            <w:tcW w:w="905" w:type="dxa"/>
            <w:shd w:val="clear" w:color="000000" w:fill="FFFFFF"/>
          </w:tcPr>
          <w:p w14:paraId="597D476C" w14:textId="6D02C358" w:rsidR="00421A1D" w:rsidRPr="00421A1D" w:rsidRDefault="00421A1D" w:rsidP="00421A1D">
            <w:pPr>
              <w:pStyle w:val="ListParagraph"/>
              <w:ind w:left="0"/>
              <w:jc w:val="right"/>
              <w:rPr>
                <w:rFonts w:cs="Arial"/>
                <w:bCs/>
                <w:sz w:val="20"/>
              </w:rPr>
            </w:pPr>
            <w:r w:rsidRPr="00421A1D">
              <w:rPr>
                <w:sz w:val="20"/>
              </w:rPr>
              <w:t>806</w:t>
            </w:r>
          </w:p>
        </w:tc>
        <w:tc>
          <w:tcPr>
            <w:tcW w:w="950" w:type="dxa"/>
            <w:shd w:val="clear" w:color="000000" w:fill="FFFFFF"/>
          </w:tcPr>
          <w:p w14:paraId="3629F2CB" w14:textId="73D080A0" w:rsidR="00421A1D" w:rsidRPr="00421A1D" w:rsidRDefault="00421A1D" w:rsidP="00421A1D">
            <w:pPr>
              <w:pStyle w:val="ListParagraph"/>
              <w:ind w:left="0"/>
              <w:jc w:val="right"/>
              <w:rPr>
                <w:rFonts w:cs="Arial"/>
                <w:bCs/>
                <w:sz w:val="20"/>
              </w:rPr>
            </w:pPr>
            <w:r w:rsidRPr="00421A1D">
              <w:rPr>
                <w:sz w:val="20"/>
              </w:rPr>
              <w:t>1,384</w:t>
            </w:r>
          </w:p>
        </w:tc>
        <w:tc>
          <w:tcPr>
            <w:tcW w:w="1106" w:type="dxa"/>
            <w:shd w:val="clear" w:color="000000" w:fill="FFFFFF"/>
          </w:tcPr>
          <w:p w14:paraId="0254398E" w14:textId="522656D8" w:rsidR="00421A1D" w:rsidRPr="00421A1D" w:rsidRDefault="00421A1D" w:rsidP="00421A1D">
            <w:pPr>
              <w:pStyle w:val="ListParagraph"/>
              <w:ind w:left="0"/>
              <w:jc w:val="right"/>
              <w:rPr>
                <w:rFonts w:cs="Arial"/>
                <w:bCs/>
                <w:sz w:val="20"/>
              </w:rPr>
            </w:pPr>
            <w:r w:rsidRPr="00421A1D">
              <w:rPr>
                <w:sz w:val="20"/>
              </w:rPr>
              <w:t>0</w:t>
            </w:r>
          </w:p>
        </w:tc>
        <w:tc>
          <w:tcPr>
            <w:tcW w:w="1143" w:type="dxa"/>
            <w:shd w:val="clear" w:color="000000" w:fill="FFFFFF"/>
          </w:tcPr>
          <w:p w14:paraId="7430ADF6" w14:textId="2B058880" w:rsidR="00421A1D" w:rsidRPr="00421A1D" w:rsidRDefault="00421A1D" w:rsidP="00421A1D">
            <w:pPr>
              <w:pStyle w:val="ListParagraph"/>
              <w:ind w:left="0"/>
              <w:jc w:val="right"/>
              <w:rPr>
                <w:rFonts w:cs="Arial"/>
                <w:bCs/>
                <w:sz w:val="20"/>
              </w:rPr>
            </w:pPr>
            <w:r w:rsidRPr="00421A1D">
              <w:rPr>
                <w:sz w:val="20"/>
              </w:rPr>
              <w:t>0</w:t>
            </w:r>
          </w:p>
        </w:tc>
        <w:tc>
          <w:tcPr>
            <w:tcW w:w="1128" w:type="dxa"/>
            <w:shd w:val="clear" w:color="000000" w:fill="FFFFFF"/>
          </w:tcPr>
          <w:p w14:paraId="0A8EAB1D" w14:textId="06ECA1FC" w:rsidR="00421A1D" w:rsidRPr="00421A1D" w:rsidRDefault="00421A1D" w:rsidP="00421A1D">
            <w:pPr>
              <w:pStyle w:val="ListParagraph"/>
              <w:ind w:left="0"/>
              <w:jc w:val="right"/>
              <w:rPr>
                <w:rFonts w:cs="Arial"/>
                <w:bCs/>
                <w:sz w:val="20"/>
              </w:rPr>
            </w:pPr>
            <w:r w:rsidRPr="00421A1D">
              <w:rPr>
                <w:sz w:val="20"/>
              </w:rPr>
              <w:t>0</w:t>
            </w:r>
          </w:p>
        </w:tc>
        <w:tc>
          <w:tcPr>
            <w:tcW w:w="1077" w:type="dxa"/>
            <w:shd w:val="clear" w:color="auto" w:fill="auto"/>
          </w:tcPr>
          <w:p w14:paraId="1E471B94" w14:textId="3E29DF88" w:rsidR="00421A1D" w:rsidRPr="00421A1D" w:rsidRDefault="00421A1D" w:rsidP="00421A1D">
            <w:pPr>
              <w:pStyle w:val="ListParagraph"/>
              <w:ind w:left="0"/>
              <w:jc w:val="right"/>
              <w:rPr>
                <w:rFonts w:cs="Arial"/>
                <w:bCs/>
                <w:sz w:val="20"/>
              </w:rPr>
            </w:pPr>
            <w:r w:rsidRPr="00421A1D">
              <w:rPr>
                <w:sz w:val="20"/>
              </w:rPr>
              <w:t>1,384</w:t>
            </w:r>
          </w:p>
        </w:tc>
        <w:tc>
          <w:tcPr>
            <w:tcW w:w="1189" w:type="dxa"/>
            <w:shd w:val="clear" w:color="000000" w:fill="F2F2F2"/>
          </w:tcPr>
          <w:p w14:paraId="28F9BE68" w14:textId="7B574C1F" w:rsidR="00421A1D" w:rsidRPr="00421A1D" w:rsidRDefault="00421A1D" w:rsidP="00421A1D">
            <w:pPr>
              <w:pStyle w:val="ListParagraph"/>
              <w:ind w:left="0"/>
              <w:jc w:val="right"/>
              <w:rPr>
                <w:rFonts w:cs="Arial"/>
                <w:bCs/>
                <w:sz w:val="20"/>
              </w:rPr>
            </w:pPr>
            <w:r w:rsidRPr="00421A1D">
              <w:rPr>
                <w:sz w:val="20"/>
              </w:rPr>
              <w:t>578</w:t>
            </w:r>
          </w:p>
        </w:tc>
      </w:tr>
      <w:tr w:rsidR="00421A1D" w:rsidRPr="00421A1D" w14:paraId="1024E496" w14:textId="77777777" w:rsidTr="002D1AF8">
        <w:tc>
          <w:tcPr>
            <w:tcW w:w="2708" w:type="dxa"/>
            <w:shd w:val="clear" w:color="auto" w:fill="auto"/>
            <w:vAlign w:val="center"/>
          </w:tcPr>
          <w:p w14:paraId="773BE0E3" w14:textId="619EA536" w:rsidR="00421A1D" w:rsidRPr="00421A1D" w:rsidRDefault="00421A1D" w:rsidP="00421A1D">
            <w:pPr>
              <w:pStyle w:val="ListParagraph"/>
              <w:ind w:left="0"/>
              <w:jc w:val="both"/>
              <w:rPr>
                <w:rFonts w:cs="Arial"/>
                <w:bCs/>
                <w:sz w:val="20"/>
              </w:rPr>
            </w:pPr>
            <w:r w:rsidRPr="00421A1D">
              <w:rPr>
                <w:rFonts w:cs="Arial"/>
                <w:bCs/>
                <w:color w:val="000000"/>
                <w:sz w:val="20"/>
              </w:rPr>
              <w:t xml:space="preserve">Strategy </w:t>
            </w:r>
          </w:p>
        </w:tc>
        <w:tc>
          <w:tcPr>
            <w:tcW w:w="905" w:type="dxa"/>
            <w:shd w:val="clear" w:color="000000" w:fill="FFFFFF"/>
          </w:tcPr>
          <w:p w14:paraId="4F2F5322" w14:textId="0AF78339" w:rsidR="00421A1D" w:rsidRPr="00421A1D" w:rsidRDefault="00421A1D" w:rsidP="00421A1D">
            <w:pPr>
              <w:pStyle w:val="ListParagraph"/>
              <w:ind w:left="0"/>
              <w:jc w:val="right"/>
              <w:rPr>
                <w:rFonts w:cs="Arial"/>
                <w:bCs/>
                <w:sz w:val="20"/>
              </w:rPr>
            </w:pPr>
            <w:r w:rsidRPr="00421A1D">
              <w:rPr>
                <w:sz w:val="20"/>
              </w:rPr>
              <w:t>2,849</w:t>
            </w:r>
          </w:p>
        </w:tc>
        <w:tc>
          <w:tcPr>
            <w:tcW w:w="950" w:type="dxa"/>
            <w:shd w:val="clear" w:color="000000" w:fill="FFFFFF"/>
          </w:tcPr>
          <w:p w14:paraId="65952421" w14:textId="2F6DCDD7" w:rsidR="00421A1D" w:rsidRPr="00421A1D" w:rsidRDefault="00421A1D" w:rsidP="00421A1D">
            <w:pPr>
              <w:pStyle w:val="ListParagraph"/>
              <w:ind w:left="0"/>
              <w:jc w:val="right"/>
              <w:rPr>
                <w:rFonts w:cs="Arial"/>
                <w:bCs/>
                <w:sz w:val="20"/>
              </w:rPr>
            </w:pPr>
            <w:r w:rsidRPr="00421A1D">
              <w:rPr>
                <w:sz w:val="20"/>
              </w:rPr>
              <w:t>2,612</w:t>
            </w:r>
          </w:p>
        </w:tc>
        <w:tc>
          <w:tcPr>
            <w:tcW w:w="1106" w:type="dxa"/>
            <w:shd w:val="clear" w:color="000000" w:fill="FFFFFF"/>
          </w:tcPr>
          <w:p w14:paraId="2597EB98" w14:textId="6A5AA675" w:rsidR="00421A1D" w:rsidRPr="00421A1D" w:rsidRDefault="00421A1D" w:rsidP="00421A1D">
            <w:pPr>
              <w:pStyle w:val="ListParagraph"/>
              <w:ind w:left="0"/>
              <w:jc w:val="right"/>
              <w:rPr>
                <w:rFonts w:cs="Arial"/>
                <w:bCs/>
                <w:sz w:val="20"/>
              </w:rPr>
            </w:pPr>
            <w:r w:rsidRPr="00421A1D">
              <w:rPr>
                <w:sz w:val="20"/>
              </w:rPr>
              <w:t>-60</w:t>
            </w:r>
          </w:p>
        </w:tc>
        <w:tc>
          <w:tcPr>
            <w:tcW w:w="1143" w:type="dxa"/>
            <w:shd w:val="clear" w:color="000000" w:fill="FFFFFF"/>
          </w:tcPr>
          <w:p w14:paraId="5035E562" w14:textId="4160FB02" w:rsidR="00421A1D" w:rsidRPr="00421A1D" w:rsidRDefault="00421A1D" w:rsidP="00421A1D">
            <w:pPr>
              <w:pStyle w:val="ListParagraph"/>
              <w:ind w:left="0"/>
              <w:jc w:val="right"/>
              <w:rPr>
                <w:rFonts w:cs="Arial"/>
                <w:bCs/>
                <w:sz w:val="20"/>
              </w:rPr>
            </w:pPr>
            <w:r w:rsidRPr="00421A1D">
              <w:rPr>
                <w:sz w:val="20"/>
              </w:rPr>
              <w:t>260</w:t>
            </w:r>
          </w:p>
        </w:tc>
        <w:tc>
          <w:tcPr>
            <w:tcW w:w="1128" w:type="dxa"/>
            <w:shd w:val="clear" w:color="000000" w:fill="FFFFFF"/>
          </w:tcPr>
          <w:p w14:paraId="3EADBF29" w14:textId="171840CE" w:rsidR="00421A1D" w:rsidRPr="00421A1D" w:rsidRDefault="00421A1D" w:rsidP="00421A1D">
            <w:pPr>
              <w:pStyle w:val="ListParagraph"/>
              <w:ind w:left="0"/>
              <w:jc w:val="right"/>
              <w:rPr>
                <w:rFonts w:cs="Arial"/>
                <w:bCs/>
                <w:sz w:val="20"/>
              </w:rPr>
            </w:pPr>
            <w:r w:rsidRPr="00421A1D">
              <w:rPr>
                <w:sz w:val="20"/>
              </w:rPr>
              <w:t>187</w:t>
            </w:r>
          </w:p>
        </w:tc>
        <w:tc>
          <w:tcPr>
            <w:tcW w:w="1077" w:type="dxa"/>
            <w:shd w:val="clear" w:color="auto" w:fill="auto"/>
          </w:tcPr>
          <w:p w14:paraId="2A8B6A94" w14:textId="3E27931A" w:rsidR="00421A1D" w:rsidRPr="00421A1D" w:rsidRDefault="00421A1D" w:rsidP="00421A1D">
            <w:pPr>
              <w:pStyle w:val="ListParagraph"/>
              <w:ind w:left="0"/>
              <w:jc w:val="right"/>
              <w:rPr>
                <w:rFonts w:cs="Arial"/>
                <w:bCs/>
                <w:sz w:val="20"/>
              </w:rPr>
            </w:pPr>
            <w:r w:rsidRPr="00421A1D">
              <w:rPr>
                <w:sz w:val="20"/>
              </w:rPr>
              <w:t>2,999</w:t>
            </w:r>
          </w:p>
        </w:tc>
        <w:tc>
          <w:tcPr>
            <w:tcW w:w="1189" w:type="dxa"/>
            <w:shd w:val="clear" w:color="000000" w:fill="F2F2F2"/>
          </w:tcPr>
          <w:p w14:paraId="41846BB5" w14:textId="1C91022C" w:rsidR="00421A1D" w:rsidRPr="00421A1D" w:rsidRDefault="00421A1D" w:rsidP="00421A1D">
            <w:pPr>
              <w:pStyle w:val="ListParagraph"/>
              <w:ind w:left="0"/>
              <w:jc w:val="right"/>
              <w:rPr>
                <w:rFonts w:cs="Arial"/>
                <w:bCs/>
                <w:sz w:val="20"/>
              </w:rPr>
            </w:pPr>
            <w:r w:rsidRPr="00421A1D">
              <w:rPr>
                <w:sz w:val="20"/>
              </w:rPr>
              <w:t>150</w:t>
            </w:r>
          </w:p>
        </w:tc>
      </w:tr>
      <w:tr w:rsidR="00421A1D" w:rsidRPr="00421A1D" w14:paraId="6DB2E31D" w14:textId="77777777" w:rsidTr="002D1AF8">
        <w:tc>
          <w:tcPr>
            <w:tcW w:w="2708" w:type="dxa"/>
            <w:shd w:val="clear" w:color="auto" w:fill="auto"/>
            <w:vAlign w:val="center"/>
          </w:tcPr>
          <w:p w14:paraId="7261FC32" w14:textId="247A088D" w:rsidR="00421A1D" w:rsidRPr="00421A1D" w:rsidRDefault="00421A1D" w:rsidP="00421A1D">
            <w:pPr>
              <w:pStyle w:val="ListParagraph"/>
              <w:ind w:left="0"/>
              <w:jc w:val="both"/>
              <w:rPr>
                <w:rFonts w:cs="Arial"/>
                <w:bCs/>
                <w:sz w:val="20"/>
              </w:rPr>
            </w:pPr>
            <w:r w:rsidRPr="00421A1D">
              <w:rPr>
                <w:rFonts w:cs="Arial"/>
                <w:bCs/>
                <w:color w:val="000000"/>
                <w:sz w:val="20"/>
              </w:rPr>
              <w:t>Revenues &amp; Benefits</w:t>
            </w:r>
          </w:p>
        </w:tc>
        <w:tc>
          <w:tcPr>
            <w:tcW w:w="905" w:type="dxa"/>
            <w:shd w:val="clear" w:color="000000" w:fill="FFFFFF"/>
          </w:tcPr>
          <w:p w14:paraId="341502BA" w14:textId="482176D7" w:rsidR="00421A1D" w:rsidRPr="00421A1D" w:rsidRDefault="00421A1D" w:rsidP="00421A1D">
            <w:pPr>
              <w:pStyle w:val="ListParagraph"/>
              <w:ind w:left="0"/>
              <w:jc w:val="right"/>
              <w:rPr>
                <w:rFonts w:cs="Arial"/>
                <w:bCs/>
                <w:sz w:val="20"/>
              </w:rPr>
            </w:pPr>
            <w:r w:rsidRPr="00421A1D">
              <w:rPr>
                <w:sz w:val="20"/>
              </w:rPr>
              <w:t>11,933</w:t>
            </w:r>
          </w:p>
        </w:tc>
        <w:tc>
          <w:tcPr>
            <w:tcW w:w="950" w:type="dxa"/>
            <w:shd w:val="clear" w:color="000000" w:fill="FFFFFF"/>
          </w:tcPr>
          <w:p w14:paraId="25165717" w14:textId="0DBBC599" w:rsidR="00421A1D" w:rsidRPr="00421A1D" w:rsidRDefault="00421A1D" w:rsidP="00421A1D">
            <w:pPr>
              <w:pStyle w:val="ListParagraph"/>
              <w:ind w:left="0"/>
              <w:jc w:val="right"/>
              <w:rPr>
                <w:rFonts w:cs="Arial"/>
                <w:bCs/>
                <w:sz w:val="20"/>
              </w:rPr>
            </w:pPr>
            <w:r w:rsidRPr="00421A1D">
              <w:rPr>
                <w:sz w:val="20"/>
              </w:rPr>
              <w:t>10,731</w:t>
            </w:r>
          </w:p>
        </w:tc>
        <w:tc>
          <w:tcPr>
            <w:tcW w:w="1106" w:type="dxa"/>
            <w:shd w:val="clear" w:color="000000" w:fill="FFFFFF"/>
          </w:tcPr>
          <w:p w14:paraId="6517C5B3" w14:textId="25B0F085" w:rsidR="00421A1D" w:rsidRPr="00421A1D" w:rsidRDefault="00421A1D" w:rsidP="00421A1D">
            <w:pPr>
              <w:pStyle w:val="ListParagraph"/>
              <w:ind w:left="0"/>
              <w:jc w:val="right"/>
              <w:rPr>
                <w:rFonts w:cs="Arial"/>
                <w:bCs/>
                <w:sz w:val="20"/>
              </w:rPr>
            </w:pPr>
            <w:r w:rsidRPr="00421A1D">
              <w:rPr>
                <w:sz w:val="20"/>
              </w:rPr>
              <w:t>0</w:t>
            </w:r>
          </w:p>
        </w:tc>
        <w:tc>
          <w:tcPr>
            <w:tcW w:w="1143" w:type="dxa"/>
            <w:shd w:val="clear" w:color="000000" w:fill="FFFFFF"/>
          </w:tcPr>
          <w:p w14:paraId="5C0854A5" w14:textId="18109E86" w:rsidR="00421A1D" w:rsidRPr="00421A1D" w:rsidRDefault="00421A1D" w:rsidP="00421A1D">
            <w:pPr>
              <w:pStyle w:val="ListParagraph"/>
              <w:ind w:left="0"/>
              <w:jc w:val="right"/>
              <w:rPr>
                <w:rFonts w:cs="Arial"/>
                <w:bCs/>
                <w:sz w:val="20"/>
              </w:rPr>
            </w:pPr>
            <w:r w:rsidRPr="00421A1D">
              <w:rPr>
                <w:sz w:val="20"/>
              </w:rPr>
              <w:t>0</w:t>
            </w:r>
          </w:p>
        </w:tc>
        <w:tc>
          <w:tcPr>
            <w:tcW w:w="1128" w:type="dxa"/>
            <w:shd w:val="clear" w:color="000000" w:fill="FFFFFF"/>
          </w:tcPr>
          <w:p w14:paraId="46A41801" w14:textId="5FF8BF38" w:rsidR="00421A1D" w:rsidRPr="00421A1D" w:rsidRDefault="00421A1D" w:rsidP="00421A1D">
            <w:pPr>
              <w:pStyle w:val="ListParagraph"/>
              <w:ind w:left="0"/>
              <w:jc w:val="right"/>
              <w:rPr>
                <w:rFonts w:cs="Arial"/>
                <w:bCs/>
                <w:sz w:val="20"/>
              </w:rPr>
            </w:pPr>
            <w:r w:rsidRPr="00421A1D">
              <w:rPr>
                <w:sz w:val="20"/>
              </w:rPr>
              <w:t>0</w:t>
            </w:r>
          </w:p>
        </w:tc>
        <w:tc>
          <w:tcPr>
            <w:tcW w:w="1077" w:type="dxa"/>
            <w:shd w:val="clear" w:color="auto" w:fill="auto"/>
          </w:tcPr>
          <w:p w14:paraId="2039C4F1" w14:textId="1A644D55" w:rsidR="00421A1D" w:rsidRPr="00421A1D" w:rsidRDefault="00421A1D" w:rsidP="00421A1D">
            <w:pPr>
              <w:pStyle w:val="ListParagraph"/>
              <w:ind w:left="0"/>
              <w:jc w:val="right"/>
              <w:rPr>
                <w:rFonts w:cs="Arial"/>
                <w:bCs/>
                <w:sz w:val="20"/>
              </w:rPr>
            </w:pPr>
            <w:r w:rsidRPr="00421A1D">
              <w:rPr>
                <w:sz w:val="20"/>
              </w:rPr>
              <w:t>10,731</w:t>
            </w:r>
          </w:p>
        </w:tc>
        <w:tc>
          <w:tcPr>
            <w:tcW w:w="1189" w:type="dxa"/>
            <w:shd w:val="clear" w:color="000000" w:fill="F2F2F2"/>
          </w:tcPr>
          <w:p w14:paraId="63451E93" w14:textId="76742CFB" w:rsidR="00421A1D" w:rsidRPr="00421A1D" w:rsidRDefault="00421A1D" w:rsidP="00421A1D">
            <w:pPr>
              <w:pStyle w:val="ListParagraph"/>
              <w:ind w:left="0"/>
              <w:jc w:val="right"/>
              <w:rPr>
                <w:rFonts w:cs="Arial"/>
                <w:bCs/>
                <w:sz w:val="20"/>
              </w:rPr>
            </w:pPr>
            <w:r w:rsidRPr="00421A1D">
              <w:rPr>
                <w:sz w:val="20"/>
              </w:rPr>
              <w:t>-1,202</w:t>
            </w:r>
          </w:p>
        </w:tc>
      </w:tr>
      <w:tr w:rsidR="00421A1D" w:rsidRPr="00421A1D" w14:paraId="38537521" w14:textId="77777777" w:rsidTr="002D1AF8">
        <w:tc>
          <w:tcPr>
            <w:tcW w:w="2708" w:type="dxa"/>
            <w:shd w:val="clear" w:color="auto" w:fill="auto"/>
            <w:vAlign w:val="center"/>
          </w:tcPr>
          <w:p w14:paraId="02BFB717" w14:textId="0DDC05E2" w:rsidR="00421A1D" w:rsidRPr="00421A1D" w:rsidRDefault="00421A1D" w:rsidP="00421A1D">
            <w:pPr>
              <w:pStyle w:val="ListParagraph"/>
              <w:ind w:left="0"/>
              <w:jc w:val="both"/>
              <w:rPr>
                <w:rFonts w:cs="Arial"/>
                <w:bCs/>
                <w:sz w:val="20"/>
              </w:rPr>
            </w:pPr>
            <w:r w:rsidRPr="00421A1D">
              <w:rPr>
                <w:rFonts w:cs="Arial"/>
                <w:bCs/>
                <w:color w:val="000000"/>
                <w:sz w:val="20"/>
              </w:rPr>
              <w:t>ICT</w:t>
            </w:r>
          </w:p>
        </w:tc>
        <w:tc>
          <w:tcPr>
            <w:tcW w:w="905" w:type="dxa"/>
            <w:shd w:val="clear" w:color="000000" w:fill="FFFFFF"/>
          </w:tcPr>
          <w:p w14:paraId="0FDFA209" w14:textId="1876C89D" w:rsidR="00421A1D" w:rsidRPr="00421A1D" w:rsidRDefault="00421A1D" w:rsidP="00421A1D">
            <w:pPr>
              <w:pStyle w:val="ListParagraph"/>
              <w:ind w:left="0"/>
              <w:jc w:val="right"/>
              <w:rPr>
                <w:rFonts w:cs="Arial"/>
                <w:bCs/>
                <w:sz w:val="20"/>
              </w:rPr>
            </w:pPr>
            <w:r w:rsidRPr="00421A1D">
              <w:rPr>
                <w:sz w:val="20"/>
              </w:rPr>
              <w:t>7,348</w:t>
            </w:r>
          </w:p>
        </w:tc>
        <w:tc>
          <w:tcPr>
            <w:tcW w:w="950" w:type="dxa"/>
            <w:shd w:val="clear" w:color="000000" w:fill="FFFFFF"/>
          </w:tcPr>
          <w:p w14:paraId="1157DAFD" w14:textId="771E29C4" w:rsidR="00421A1D" w:rsidRPr="00421A1D" w:rsidRDefault="00421A1D" w:rsidP="00421A1D">
            <w:pPr>
              <w:pStyle w:val="ListParagraph"/>
              <w:ind w:left="0"/>
              <w:jc w:val="right"/>
              <w:rPr>
                <w:rFonts w:cs="Arial"/>
                <w:bCs/>
                <w:sz w:val="20"/>
              </w:rPr>
            </w:pPr>
            <w:r w:rsidRPr="00421A1D">
              <w:rPr>
                <w:sz w:val="20"/>
              </w:rPr>
              <w:t>7,458</w:t>
            </w:r>
          </w:p>
        </w:tc>
        <w:tc>
          <w:tcPr>
            <w:tcW w:w="1106" w:type="dxa"/>
            <w:shd w:val="clear" w:color="000000" w:fill="FFFFFF"/>
          </w:tcPr>
          <w:p w14:paraId="7278CA5D" w14:textId="260F75A3" w:rsidR="00421A1D" w:rsidRPr="00421A1D" w:rsidRDefault="00421A1D" w:rsidP="00421A1D">
            <w:pPr>
              <w:pStyle w:val="ListParagraph"/>
              <w:ind w:left="0"/>
              <w:jc w:val="right"/>
              <w:rPr>
                <w:rFonts w:cs="Arial"/>
                <w:bCs/>
                <w:sz w:val="20"/>
              </w:rPr>
            </w:pPr>
            <w:r w:rsidRPr="00421A1D">
              <w:rPr>
                <w:sz w:val="20"/>
              </w:rPr>
              <w:t>0</w:t>
            </w:r>
          </w:p>
        </w:tc>
        <w:tc>
          <w:tcPr>
            <w:tcW w:w="1143" w:type="dxa"/>
            <w:shd w:val="clear" w:color="000000" w:fill="FFFFFF"/>
          </w:tcPr>
          <w:p w14:paraId="1EF8434E" w14:textId="11CAEAC2" w:rsidR="00421A1D" w:rsidRPr="00421A1D" w:rsidRDefault="00421A1D" w:rsidP="00421A1D">
            <w:pPr>
              <w:pStyle w:val="ListParagraph"/>
              <w:ind w:left="0"/>
              <w:jc w:val="right"/>
              <w:rPr>
                <w:rFonts w:cs="Arial"/>
                <w:bCs/>
                <w:sz w:val="20"/>
              </w:rPr>
            </w:pPr>
            <w:r w:rsidRPr="00421A1D">
              <w:rPr>
                <w:sz w:val="20"/>
              </w:rPr>
              <w:t>0</w:t>
            </w:r>
          </w:p>
        </w:tc>
        <w:tc>
          <w:tcPr>
            <w:tcW w:w="1128" w:type="dxa"/>
            <w:shd w:val="clear" w:color="000000" w:fill="FFFFFF"/>
          </w:tcPr>
          <w:p w14:paraId="353AC201" w14:textId="0C926C14" w:rsidR="00421A1D" w:rsidRPr="00421A1D" w:rsidRDefault="00421A1D" w:rsidP="00421A1D">
            <w:pPr>
              <w:pStyle w:val="ListParagraph"/>
              <w:ind w:left="0"/>
              <w:jc w:val="right"/>
              <w:rPr>
                <w:rFonts w:cs="Arial"/>
                <w:bCs/>
                <w:sz w:val="20"/>
              </w:rPr>
            </w:pPr>
            <w:r w:rsidRPr="00421A1D">
              <w:rPr>
                <w:sz w:val="20"/>
              </w:rPr>
              <w:t>0</w:t>
            </w:r>
          </w:p>
        </w:tc>
        <w:tc>
          <w:tcPr>
            <w:tcW w:w="1077" w:type="dxa"/>
            <w:shd w:val="clear" w:color="auto" w:fill="auto"/>
          </w:tcPr>
          <w:p w14:paraId="2A3182D2" w14:textId="532C477A" w:rsidR="00421A1D" w:rsidRPr="00421A1D" w:rsidRDefault="00421A1D" w:rsidP="00421A1D">
            <w:pPr>
              <w:pStyle w:val="ListParagraph"/>
              <w:ind w:left="0"/>
              <w:jc w:val="right"/>
              <w:rPr>
                <w:rFonts w:cs="Arial"/>
                <w:bCs/>
                <w:sz w:val="20"/>
              </w:rPr>
            </w:pPr>
            <w:r w:rsidRPr="00421A1D">
              <w:rPr>
                <w:sz w:val="20"/>
              </w:rPr>
              <w:t>7,458</w:t>
            </w:r>
          </w:p>
        </w:tc>
        <w:tc>
          <w:tcPr>
            <w:tcW w:w="1189" w:type="dxa"/>
            <w:shd w:val="clear" w:color="000000" w:fill="F2F2F2"/>
          </w:tcPr>
          <w:p w14:paraId="48747FB1" w14:textId="0BD96CDB" w:rsidR="00421A1D" w:rsidRPr="00421A1D" w:rsidRDefault="00421A1D" w:rsidP="00421A1D">
            <w:pPr>
              <w:pStyle w:val="ListParagraph"/>
              <w:ind w:left="0"/>
              <w:jc w:val="right"/>
              <w:rPr>
                <w:rFonts w:cs="Arial"/>
                <w:bCs/>
                <w:sz w:val="20"/>
              </w:rPr>
            </w:pPr>
            <w:r w:rsidRPr="00421A1D">
              <w:rPr>
                <w:sz w:val="20"/>
              </w:rPr>
              <w:t>110</w:t>
            </w:r>
          </w:p>
        </w:tc>
      </w:tr>
      <w:tr w:rsidR="00421A1D" w:rsidRPr="00421A1D" w14:paraId="0AECC089" w14:textId="77777777" w:rsidTr="002D1AF8">
        <w:tc>
          <w:tcPr>
            <w:tcW w:w="2708" w:type="dxa"/>
            <w:shd w:val="clear" w:color="auto" w:fill="auto"/>
            <w:vAlign w:val="center"/>
          </w:tcPr>
          <w:p w14:paraId="74C145EE" w14:textId="67730AC4" w:rsidR="00421A1D" w:rsidRPr="00421A1D" w:rsidRDefault="00421A1D" w:rsidP="00421A1D">
            <w:pPr>
              <w:pStyle w:val="ListParagraph"/>
              <w:ind w:left="0"/>
              <w:jc w:val="both"/>
              <w:rPr>
                <w:rFonts w:cs="Arial"/>
                <w:sz w:val="20"/>
              </w:rPr>
            </w:pPr>
            <w:r w:rsidRPr="00421A1D">
              <w:rPr>
                <w:rFonts w:cs="Arial"/>
                <w:color w:val="000000"/>
                <w:sz w:val="20"/>
              </w:rPr>
              <w:t>Procurement</w:t>
            </w:r>
          </w:p>
        </w:tc>
        <w:tc>
          <w:tcPr>
            <w:tcW w:w="905" w:type="dxa"/>
            <w:shd w:val="clear" w:color="000000" w:fill="FFFFFF"/>
          </w:tcPr>
          <w:p w14:paraId="35A4BE96" w14:textId="213D79A9" w:rsidR="00421A1D" w:rsidRPr="00421A1D" w:rsidRDefault="00421A1D" w:rsidP="00421A1D">
            <w:pPr>
              <w:pStyle w:val="ListParagraph"/>
              <w:ind w:left="0"/>
              <w:jc w:val="right"/>
              <w:rPr>
                <w:rFonts w:cs="Arial"/>
                <w:sz w:val="20"/>
              </w:rPr>
            </w:pPr>
            <w:r w:rsidRPr="00421A1D">
              <w:rPr>
                <w:sz w:val="20"/>
              </w:rPr>
              <w:t>681</w:t>
            </w:r>
          </w:p>
        </w:tc>
        <w:tc>
          <w:tcPr>
            <w:tcW w:w="950" w:type="dxa"/>
            <w:shd w:val="clear" w:color="000000" w:fill="FFFFFF"/>
          </w:tcPr>
          <w:p w14:paraId="0C30558A" w14:textId="63891CFF" w:rsidR="00421A1D" w:rsidRPr="00421A1D" w:rsidRDefault="00421A1D" w:rsidP="00421A1D">
            <w:pPr>
              <w:pStyle w:val="ListParagraph"/>
              <w:ind w:left="0"/>
              <w:jc w:val="right"/>
              <w:rPr>
                <w:rFonts w:cs="Arial"/>
                <w:sz w:val="20"/>
              </w:rPr>
            </w:pPr>
            <w:r w:rsidRPr="00421A1D">
              <w:rPr>
                <w:sz w:val="20"/>
              </w:rPr>
              <w:t>645</w:t>
            </w:r>
          </w:p>
        </w:tc>
        <w:tc>
          <w:tcPr>
            <w:tcW w:w="1106" w:type="dxa"/>
            <w:shd w:val="clear" w:color="000000" w:fill="FFFFFF"/>
          </w:tcPr>
          <w:p w14:paraId="354E48D4" w14:textId="56927827" w:rsidR="00421A1D" w:rsidRPr="00421A1D" w:rsidRDefault="00421A1D" w:rsidP="00421A1D">
            <w:pPr>
              <w:pStyle w:val="ListParagraph"/>
              <w:ind w:left="0"/>
              <w:jc w:val="right"/>
              <w:rPr>
                <w:rFonts w:cs="Arial"/>
                <w:sz w:val="20"/>
              </w:rPr>
            </w:pPr>
            <w:r w:rsidRPr="00421A1D">
              <w:rPr>
                <w:sz w:val="20"/>
              </w:rPr>
              <w:t>0</w:t>
            </w:r>
          </w:p>
        </w:tc>
        <w:tc>
          <w:tcPr>
            <w:tcW w:w="1143" w:type="dxa"/>
            <w:shd w:val="clear" w:color="000000" w:fill="FFFFFF"/>
          </w:tcPr>
          <w:p w14:paraId="174CC19D" w14:textId="5DB33FAD" w:rsidR="00421A1D" w:rsidRPr="00421A1D" w:rsidRDefault="00421A1D" w:rsidP="00421A1D">
            <w:pPr>
              <w:pStyle w:val="ListParagraph"/>
              <w:ind w:left="0"/>
              <w:jc w:val="right"/>
              <w:rPr>
                <w:rFonts w:cs="Arial"/>
                <w:sz w:val="20"/>
              </w:rPr>
            </w:pPr>
            <w:r w:rsidRPr="00421A1D">
              <w:rPr>
                <w:sz w:val="20"/>
              </w:rPr>
              <w:t>0</w:t>
            </w:r>
          </w:p>
        </w:tc>
        <w:tc>
          <w:tcPr>
            <w:tcW w:w="1128" w:type="dxa"/>
            <w:shd w:val="clear" w:color="000000" w:fill="FFFFFF"/>
          </w:tcPr>
          <w:p w14:paraId="76AC5A48" w14:textId="268980F1" w:rsidR="00421A1D" w:rsidRPr="00421A1D" w:rsidRDefault="00421A1D" w:rsidP="00421A1D">
            <w:pPr>
              <w:pStyle w:val="ListParagraph"/>
              <w:ind w:left="0"/>
              <w:jc w:val="right"/>
              <w:rPr>
                <w:rFonts w:cs="Arial"/>
                <w:sz w:val="20"/>
              </w:rPr>
            </w:pPr>
            <w:r w:rsidRPr="00421A1D">
              <w:rPr>
                <w:sz w:val="20"/>
              </w:rPr>
              <w:t>0</w:t>
            </w:r>
          </w:p>
        </w:tc>
        <w:tc>
          <w:tcPr>
            <w:tcW w:w="1077" w:type="dxa"/>
            <w:shd w:val="clear" w:color="auto" w:fill="auto"/>
          </w:tcPr>
          <w:p w14:paraId="4D10697A" w14:textId="029E1031" w:rsidR="00421A1D" w:rsidRPr="00421A1D" w:rsidRDefault="00421A1D" w:rsidP="00421A1D">
            <w:pPr>
              <w:pStyle w:val="ListParagraph"/>
              <w:ind w:left="0"/>
              <w:jc w:val="right"/>
              <w:rPr>
                <w:rFonts w:cs="Arial"/>
                <w:sz w:val="20"/>
              </w:rPr>
            </w:pPr>
            <w:r w:rsidRPr="00421A1D">
              <w:rPr>
                <w:sz w:val="20"/>
              </w:rPr>
              <w:t>645</w:t>
            </w:r>
          </w:p>
        </w:tc>
        <w:tc>
          <w:tcPr>
            <w:tcW w:w="1189" w:type="dxa"/>
            <w:shd w:val="clear" w:color="000000" w:fill="F2F2F2"/>
          </w:tcPr>
          <w:p w14:paraId="09AB47C3" w14:textId="1842C31F" w:rsidR="00421A1D" w:rsidRPr="00421A1D" w:rsidRDefault="00421A1D" w:rsidP="00421A1D">
            <w:pPr>
              <w:pStyle w:val="ListParagraph"/>
              <w:ind w:left="0"/>
              <w:jc w:val="right"/>
              <w:rPr>
                <w:rFonts w:cs="Arial"/>
                <w:sz w:val="20"/>
              </w:rPr>
            </w:pPr>
            <w:r w:rsidRPr="00421A1D">
              <w:rPr>
                <w:sz w:val="20"/>
              </w:rPr>
              <w:t>-36</w:t>
            </w:r>
          </w:p>
        </w:tc>
      </w:tr>
      <w:tr w:rsidR="00421A1D" w:rsidRPr="00421A1D" w14:paraId="6005AF59" w14:textId="77777777" w:rsidTr="002D1AF8">
        <w:tc>
          <w:tcPr>
            <w:tcW w:w="2708" w:type="dxa"/>
            <w:shd w:val="clear" w:color="auto" w:fill="auto"/>
            <w:vAlign w:val="center"/>
          </w:tcPr>
          <w:p w14:paraId="74D84C76" w14:textId="10F29221" w:rsidR="00421A1D" w:rsidRPr="00421A1D" w:rsidRDefault="00421A1D" w:rsidP="00421A1D">
            <w:pPr>
              <w:pStyle w:val="ListParagraph"/>
              <w:ind w:left="0"/>
              <w:jc w:val="both"/>
              <w:rPr>
                <w:rFonts w:cs="Arial"/>
                <w:sz w:val="20"/>
              </w:rPr>
            </w:pPr>
            <w:r w:rsidRPr="00421A1D">
              <w:rPr>
                <w:rFonts w:cs="Arial"/>
                <w:color w:val="000000"/>
                <w:sz w:val="20"/>
              </w:rPr>
              <w:t>Access Harrow</w:t>
            </w:r>
          </w:p>
        </w:tc>
        <w:tc>
          <w:tcPr>
            <w:tcW w:w="905" w:type="dxa"/>
            <w:shd w:val="clear" w:color="000000" w:fill="FFFFFF"/>
          </w:tcPr>
          <w:p w14:paraId="28FA2E99" w14:textId="572CD841" w:rsidR="00421A1D" w:rsidRPr="00421A1D" w:rsidRDefault="00421A1D" w:rsidP="00421A1D">
            <w:pPr>
              <w:pStyle w:val="ListParagraph"/>
              <w:ind w:left="0"/>
              <w:jc w:val="right"/>
              <w:rPr>
                <w:rFonts w:cs="Arial"/>
                <w:sz w:val="20"/>
              </w:rPr>
            </w:pPr>
            <w:r w:rsidRPr="00421A1D">
              <w:rPr>
                <w:sz w:val="20"/>
              </w:rPr>
              <w:t>3,514</w:t>
            </w:r>
          </w:p>
        </w:tc>
        <w:tc>
          <w:tcPr>
            <w:tcW w:w="950" w:type="dxa"/>
            <w:shd w:val="clear" w:color="000000" w:fill="FFFFFF"/>
          </w:tcPr>
          <w:p w14:paraId="20DA746F" w14:textId="021D0A4F" w:rsidR="00421A1D" w:rsidRPr="00421A1D" w:rsidRDefault="00421A1D" w:rsidP="00421A1D">
            <w:pPr>
              <w:pStyle w:val="ListParagraph"/>
              <w:ind w:left="0"/>
              <w:jc w:val="right"/>
              <w:rPr>
                <w:rFonts w:cs="Arial"/>
                <w:sz w:val="20"/>
              </w:rPr>
            </w:pPr>
            <w:r w:rsidRPr="00421A1D">
              <w:rPr>
                <w:sz w:val="20"/>
              </w:rPr>
              <w:t>3,453</w:t>
            </w:r>
          </w:p>
        </w:tc>
        <w:tc>
          <w:tcPr>
            <w:tcW w:w="1106" w:type="dxa"/>
            <w:shd w:val="clear" w:color="000000" w:fill="FFFFFF"/>
          </w:tcPr>
          <w:p w14:paraId="77B1796C" w14:textId="26079344" w:rsidR="00421A1D" w:rsidRPr="00421A1D" w:rsidRDefault="00421A1D" w:rsidP="00421A1D">
            <w:pPr>
              <w:pStyle w:val="ListParagraph"/>
              <w:ind w:left="0"/>
              <w:jc w:val="right"/>
              <w:rPr>
                <w:rFonts w:cs="Arial"/>
                <w:sz w:val="20"/>
              </w:rPr>
            </w:pPr>
            <w:r w:rsidRPr="00421A1D">
              <w:rPr>
                <w:sz w:val="20"/>
              </w:rPr>
              <w:t>0</w:t>
            </w:r>
          </w:p>
        </w:tc>
        <w:tc>
          <w:tcPr>
            <w:tcW w:w="1143" w:type="dxa"/>
            <w:shd w:val="clear" w:color="000000" w:fill="FFFFFF"/>
          </w:tcPr>
          <w:p w14:paraId="6E8C1FCA" w14:textId="7C2E2D6B" w:rsidR="00421A1D" w:rsidRPr="00421A1D" w:rsidRDefault="00421A1D" w:rsidP="00421A1D">
            <w:pPr>
              <w:pStyle w:val="ListParagraph"/>
              <w:ind w:left="0"/>
              <w:jc w:val="right"/>
              <w:rPr>
                <w:rFonts w:cs="Arial"/>
                <w:sz w:val="20"/>
              </w:rPr>
            </w:pPr>
            <w:r w:rsidRPr="00421A1D">
              <w:rPr>
                <w:sz w:val="20"/>
              </w:rPr>
              <w:t>0</w:t>
            </w:r>
          </w:p>
        </w:tc>
        <w:tc>
          <w:tcPr>
            <w:tcW w:w="1128" w:type="dxa"/>
            <w:shd w:val="clear" w:color="000000" w:fill="FFFFFF"/>
          </w:tcPr>
          <w:p w14:paraId="10AC7675" w14:textId="6D3E724D" w:rsidR="00421A1D" w:rsidRPr="00421A1D" w:rsidRDefault="00421A1D" w:rsidP="00421A1D">
            <w:pPr>
              <w:pStyle w:val="ListParagraph"/>
              <w:ind w:left="0"/>
              <w:jc w:val="right"/>
              <w:rPr>
                <w:rFonts w:cs="Arial"/>
                <w:sz w:val="20"/>
              </w:rPr>
            </w:pPr>
            <w:r w:rsidRPr="00421A1D">
              <w:rPr>
                <w:sz w:val="20"/>
              </w:rPr>
              <w:t>0</w:t>
            </w:r>
          </w:p>
        </w:tc>
        <w:tc>
          <w:tcPr>
            <w:tcW w:w="1077" w:type="dxa"/>
            <w:shd w:val="clear" w:color="auto" w:fill="auto"/>
          </w:tcPr>
          <w:p w14:paraId="43491389" w14:textId="038BEC9E" w:rsidR="00421A1D" w:rsidRPr="00421A1D" w:rsidRDefault="00421A1D" w:rsidP="00421A1D">
            <w:pPr>
              <w:pStyle w:val="ListParagraph"/>
              <w:ind w:left="0"/>
              <w:jc w:val="right"/>
              <w:rPr>
                <w:rFonts w:cs="Arial"/>
                <w:sz w:val="20"/>
              </w:rPr>
            </w:pPr>
            <w:r w:rsidRPr="00421A1D">
              <w:rPr>
                <w:sz w:val="20"/>
              </w:rPr>
              <w:t>3,453</w:t>
            </w:r>
          </w:p>
        </w:tc>
        <w:tc>
          <w:tcPr>
            <w:tcW w:w="1189" w:type="dxa"/>
            <w:shd w:val="clear" w:color="000000" w:fill="F2F2F2"/>
          </w:tcPr>
          <w:p w14:paraId="657F4EFA" w14:textId="05C0C5F1" w:rsidR="00421A1D" w:rsidRPr="00421A1D" w:rsidRDefault="00421A1D" w:rsidP="00421A1D">
            <w:pPr>
              <w:pStyle w:val="ListParagraph"/>
              <w:ind w:left="0"/>
              <w:jc w:val="right"/>
              <w:rPr>
                <w:rFonts w:cs="Arial"/>
                <w:sz w:val="20"/>
              </w:rPr>
            </w:pPr>
            <w:r w:rsidRPr="00421A1D">
              <w:rPr>
                <w:sz w:val="20"/>
              </w:rPr>
              <w:t>-61</w:t>
            </w:r>
          </w:p>
        </w:tc>
      </w:tr>
      <w:tr w:rsidR="00421A1D" w:rsidRPr="00421A1D" w14:paraId="1E99B1E5" w14:textId="77777777" w:rsidTr="002D1AF8">
        <w:tc>
          <w:tcPr>
            <w:tcW w:w="2708" w:type="dxa"/>
            <w:shd w:val="clear" w:color="auto" w:fill="auto"/>
            <w:vAlign w:val="center"/>
          </w:tcPr>
          <w:p w14:paraId="56AAE855" w14:textId="4E4A9DA3" w:rsidR="00421A1D" w:rsidRPr="00421A1D" w:rsidRDefault="00421A1D" w:rsidP="00421A1D">
            <w:pPr>
              <w:pStyle w:val="ListParagraph"/>
              <w:ind w:left="0"/>
              <w:jc w:val="both"/>
              <w:rPr>
                <w:rFonts w:cs="Arial"/>
                <w:sz w:val="20"/>
              </w:rPr>
            </w:pPr>
            <w:r w:rsidRPr="00421A1D">
              <w:rPr>
                <w:rFonts w:cs="Arial"/>
                <w:color w:val="000000"/>
                <w:sz w:val="20"/>
              </w:rPr>
              <w:t>HR</w:t>
            </w:r>
          </w:p>
        </w:tc>
        <w:tc>
          <w:tcPr>
            <w:tcW w:w="905" w:type="dxa"/>
            <w:shd w:val="clear" w:color="000000" w:fill="FFFFFF"/>
          </w:tcPr>
          <w:p w14:paraId="759FF0D9" w14:textId="0B9E5817" w:rsidR="00421A1D" w:rsidRPr="00421A1D" w:rsidRDefault="00421A1D" w:rsidP="00421A1D">
            <w:pPr>
              <w:pStyle w:val="ListParagraph"/>
              <w:ind w:left="0"/>
              <w:jc w:val="right"/>
              <w:rPr>
                <w:rFonts w:cs="Arial"/>
                <w:sz w:val="20"/>
              </w:rPr>
            </w:pPr>
            <w:r w:rsidRPr="00421A1D">
              <w:rPr>
                <w:sz w:val="20"/>
              </w:rPr>
              <w:t>1,647</w:t>
            </w:r>
          </w:p>
        </w:tc>
        <w:tc>
          <w:tcPr>
            <w:tcW w:w="950" w:type="dxa"/>
            <w:shd w:val="clear" w:color="000000" w:fill="FFFFFF"/>
          </w:tcPr>
          <w:p w14:paraId="13E7AB39" w14:textId="0323EDF2" w:rsidR="00421A1D" w:rsidRPr="00421A1D" w:rsidRDefault="00421A1D" w:rsidP="00421A1D">
            <w:pPr>
              <w:pStyle w:val="ListParagraph"/>
              <w:ind w:left="0"/>
              <w:jc w:val="right"/>
              <w:rPr>
                <w:rFonts w:cs="Arial"/>
                <w:sz w:val="20"/>
              </w:rPr>
            </w:pPr>
            <w:r w:rsidRPr="00421A1D">
              <w:rPr>
                <w:sz w:val="20"/>
              </w:rPr>
              <w:t>2,442</w:t>
            </w:r>
          </w:p>
        </w:tc>
        <w:tc>
          <w:tcPr>
            <w:tcW w:w="1106" w:type="dxa"/>
            <w:shd w:val="clear" w:color="000000" w:fill="FFFFFF"/>
          </w:tcPr>
          <w:p w14:paraId="39A05CE2" w14:textId="0E1A1C66" w:rsidR="00421A1D" w:rsidRPr="00421A1D" w:rsidRDefault="00421A1D" w:rsidP="00421A1D">
            <w:pPr>
              <w:pStyle w:val="ListParagraph"/>
              <w:ind w:left="0"/>
              <w:jc w:val="right"/>
              <w:rPr>
                <w:rFonts w:cs="Arial"/>
                <w:sz w:val="20"/>
              </w:rPr>
            </w:pPr>
            <w:r w:rsidRPr="00421A1D">
              <w:rPr>
                <w:sz w:val="20"/>
              </w:rPr>
              <w:t>-93</w:t>
            </w:r>
          </w:p>
        </w:tc>
        <w:tc>
          <w:tcPr>
            <w:tcW w:w="1143" w:type="dxa"/>
            <w:shd w:val="clear" w:color="000000" w:fill="FFFFFF"/>
          </w:tcPr>
          <w:p w14:paraId="58182643" w14:textId="57E88633" w:rsidR="00421A1D" w:rsidRPr="00421A1D" w:rsidRDefault="00421A1D" w:rsidP="00421A1D">
            <w:pPr>
              <w:pStyle w:val="ListParagraph"/>
              <w:ind w:left="0"/>
              <w:jc w:val="right"/>
              <w:rPr>
                <w:rFonts w:cs="Arial"/>
                <w:sz w:val="20"/>
              </w:rPr>
            </w:pPr>
            <w:r w:rsidRPr="00421A1D">
              <w:rPr>
                <w:sz w:val="20"/>
              </w:rPr>
              <w:t>0</w:t>
            </w:r>
          </w:p>
        </w:tc>
        <w:tc>
          <w:tcPr>
            <w:tcW w:w="1128" w:type="dxa"/>
            <w:shd w:val="clear" w:color="000000" w:fill="FFFFFF"/>
          </w:tcPr>
          <w:p w14:paraId="3180C237" w14:textId="280D54D2" w:rsidR="00421A1D" w:rsidRPr="00421A1D" w:rsidRDefault="00421A1D" w:rsidP="00421A1D">
            <w:pPr>
              <w:pStyle w:val="ListParagraph"/>
              <w:ind w:left="0"/>
              <w:jc w:val="right"/>
              <w:rPr>
                <w:rFonts w:cs="Arial"/>
                <w:sz w:val="20"/>
              </w:rPr>
            </w:pPr>
            <w:r w:rsidRPr="00421A1D">
              <w:rPr>
                <w:sz w:val="20"/>
              </w:rPr>
              <w:t>0</w:t>
            </w:r>
          </w:p>
        </w:tc>
        <w:tc>
          <w:tcPr>
            <w:tcW w:w="1077" w:type="dxa"/>
            <w:shd w:val="clear" w:color="auto" w:fill="auto"/>
          </w:tcPr>
          <w:p w14:paraId="33A784B5" w14:textId="011AE0F6" w:rsidR="00421A1D" w:rsidRPr="00421A1D" w:rsidRDefault="00421A1D" w:rsidP="00421A1D">
            <w:pPr>
              <w:pStyle w:val="ListParagraph"/>
              <w:ind w:left="0"/>
              <w:jc w:val="right"/>
              <w:rPr>
                <w:rFonts w:cs="Arial"/>
                <w:sz w:val="20"/>
              </w:rPr>
            </w:pPr>
            <w:r w:rsidRPr="00421A1D">
              <w:rPr>
                <w:sz w:val="20"/>
              </w:rPr>
              <w:t>2,349</w:t>
            </w:r>
          </w:p>
        </w:tc>
        <w:tc>
          <w:tcPr>
            <w:tcW w:w="1189" w:type="dxa"/>
            <w:shd w:val="clear" w:color="000000" w:fill="F2F2F2"/>
          </w:tcPr>
          <w:p w14:paraId="3C9AED98" w14:textId="2CF1612E" w:rsidR="00421A1D" w:rsidRPr="00421A1D" w:rsidRDefault="00421A1D" w:rsidP="00421A1D">
            <w:pPr>
              <w:pStyle w:val="ListParagraph"/>
              <w:ind w:left="0"/>
              <w:jc w:val="right"/>
              <w:rPr>
                <w:rFonts w:cs="Arial"/>
                <w:sz w:val="20"/>
              </w:rPr>
            </w:pPr>
            <w:r w:rsidRPr="00421A1D">
              <w:rPr>
                <w:sz w:val="20"/>
              </w:rPr>
              <w:t>702</w:t>
            </w:r>
          </w:p>
        </w:tc>
      </w:tr>
      <w:tr w:rsidR="00421A1D" w:rsidRPr="00421A1D" w14:paraId="53F81A42" w14:textId="77777777" w:rsidTr="002D1AF8">
        <w:tc>
          <w:tcPr>
            <w:tcW w:w="2708" w:type="dxa"/>
            <w:shd w:val="clear" w:color="auto" w:fill="auto"/>
            <w:vAlign w:val="center"/>
          </w:tcPr>
          <w:p w14:paraId="5ECCF4AF" w14:textId="72600386" w:rsidR="00421A1D" w:rsidRPr="00421A1D" w:rsidRDefault="00421A1D" w:rsidP="00421A1D">
            <w:pPr>
              <w:pStyle w:val="ListParagraph"/>
              <w:ind w:left="0"/>
              <w:jc w:val="both"/>
              <w:rPr>
                <w:rFonts w:cs="Arial"/>
                <w:sz w:val="20"/>
              </w:rPr>
            </w:pPr>
            <w:r w:rsidRPr="00421A1D">
              <w:rPr>
                <w:rFonts w:cs="Arial"/>
                <w:color w:val="000000"/>
                <w:sz w:val="20"/>
              </w:rPr>
              <w:t>Legal &amp; Governance</w:t>
            </w:r>
          </w:p>
        </w:tc>
        <w:tc>
          <w:tcPr>
            <w:tcW w:w="905" w:type="dxa"/>
            <w:shd w:val="clear" w:color="000000" w:fill="FFFFFF"/>
          </w:tcPr>
          <w:p w14:paraId="77D3C9D8" w14:textId="37BEDA48" w:rsidR="00421A1D" w:rsidRPr="00421A1D" w:rsidRDefault="00421A1D" w:rsidP="00421A1D">
            <w:pPr>
              <w:pStyle w:val="ListParagraph"/>
              <w:ind w:left="0"/>
              <w:jc w:val="right"/>
              <w:rPr>
                <w:rFonts w:cs="Arial"/>
                <w:sz w:val="20"/>
              </w:rPr>
            </w:pPr>
            <w:r w:rsidRPr="00421A1D">
              <w:rPr>
                <w:sz w:val="20"/>
              </w:rPr>
              <w:t>3,469</w:t>
            </w:r>
          </w:p>
        </w:tc>
        <w:tc>
          <w:tcPr>
            <w:tcW w:w="950" w:type="dxa"/>
            <w:shd w:val="clear" w:color="000000" w:fill="FFFFFF"/>
          </w:tcPr>
          <w:p w14:paraId="12F34F5E" w14:textId="45C3B4F3" w:rsidR="00421A1D" w:rsidRPr="00421A1D" w:rsidRDefault="00421A1D" w:rsidP="00421A1D">
            <w:pPr>
              <w:pStyle w:val="ListParagraph"/>
              <w:ind w:left="0"/>
              <w:jc w:val="right"/>
              <w:rPr>
                <w:rFonts w:cs="Arial"/>
                <w:sz w:val="20"/>
              </w:rPr>
            </w:pPr>
            <w:r w:rsidRPr="00421A1D">
              <w:rPr>
                <w:sz w:val="20"/>
              </w:rPr>
              <w:t>3,163</w:t>
            </w:r>
          </w:p>
        </w:tc>
        <w:tc>
          <w:tcPr>
            <w:tcW w:w="1106" w:type="dxa"/>
            <w:shd w:val="clear" w:color="000000" w:fill="FFFFFF"/>
          </w:tcPr>
          <w:p w14:paraId="1B389235" w14:textId="58A16F55" w:rsidR="00421A1D" w:rsidRPr="00421A1D" w:rsidRDefault="00421A1D" w:rsidP="00421A1D">
            <w:pPr>
              <w:pStyle w:val="ListParagraph"/>
              <w:ind w:left="0"/>
              <w:jc w:val="right"/>
              <w:rPr>
                <w:rFonts w:cs="Arial"/>
                <w:sz w:val="20"/>
              </w:rPr>
            </w:pPr>
            <w:r w:rsidRPr="00421A1D">
              <w:rPr>
                <w:sz w:val="20"/>
              </w:rPr>
              <w:t>176</w:t>
            </w:r>
          </w:p>
        </w:tc>
        <w:tc>
          <w:tcPr>
            <w:tcW w:w="1143" w:type="dxa"/>
            <w:shd w:val="clear" w:color="000000" w:fill="FFFFFF"/>
          </w:tcPr>
          <w:p w14:paraId="644DB28D" w14:textId="55CFDE5C" w:rsidR="00421A1D" w:rsidRPr="00421A1D" w:rsidRDefault="00421A1D" w:rsidP="00421A1D">
            <w:pPr>
              <w:pStyle w:val="ListParagraph"/>
              <w:ind w:left="0"/>
              <w:jc w:val="right"/>
              <w:rPr>
                <w:rFonts w:cs="Arial"/>
                <w:sz w:val="20"/>
              </w:rPr>
            </w:pPr>
            <w:r w:rsidRPr="00421A1D">
              <w:rPr>
                <w:sz w:val="20"/>
              </w:rPr>
              <w:t>0</w:t>
            </w:r>
          </w:p>
        </w:tc>
        <w:tc>
          <w:tcPr>
            <w:tcW w:w="1128" w:type="dxa"/>
            <w:shd w:val="clear" w:color="000000" w:fill="FFFFFF"/>
          </w:tcPr>
          <w:p w14:paraId="13C7A703" w14:textId="63532704" w:rsidR="00421A1D" w:rsidRPr="00421A1D" w:rsidRDefault="00421A1D" w:rsidP="00421A1D">
            <w:pPr>
              <w:pStyle w:val="ListParagraph"/>
              <w:ind w:left="0"/>
              <w:jc w:val="right"/>
              <w:rPr>
                <w:rFonts w:cs="Arial"/>
                <w:sz w:val="20"/>
              </w:rPr>
            </w:pPr>
            <w:r w:rsidRPr="00421A1D">
              <w:rPr>
                <w:sz w:val="20"/>
              </w:rPr>
              <w:t>46</w:t>
            </w:r>
          </w:p>
        </w:tc>
        <w:tc>
          <w:tcPr>
            <w:tcW w:w="1077" w:type="dxa"/>
            <w:shd w:val="clear" w:color="auto" w:fill="auto"/>
          </w:tcPr>
          <w:p w14:paraId="6D5EE51F" w14:textId="6968FAAA" w:rsidR="00421A1D" w:rsidRPr="00421A1D" w:rsidRDefault="00421A1D" w:rsidP="00421A1D">
            <w:pPr>
              <w:pStyle w:val="ListParagraph"/>
              <w:ind w:left="0"/>
              <w:jc w:val="right"/>
              <w:rPr>
                <w:rFonts w:cs="Arial"/>
                <w:sz w:val="20"/>
              </w:rPr>
            </w:pPr>
            <w:r w:rsidRPr="00421A1D">
              <w:rPr>
                <w:sz w:val="20"/>
              </w:rPr>
              <w:t>3,385</w:t>
            </w:r>
          </w:p>
        </w:tc>
        <w:tc>
          <w:tcPr>
            <w:tcW w:w="1189" w:type="dxa"/>
            <w:shd w:val="clear" w:color="000000" w:fill="F2F2F2"/>
          </w:tcPr>
          <w:p w14:paraId="6C88B797" w14:textId="736B8439" w:rsidR="00421A1D" w:rsidRPr="00421A1D" w:rsidRDefault="00421A1D" w:rsidP="00421A1D">
            <w:pPr>
              <w:pStyle w:val="ListParagraph"/>
              <w:ind w:left="0"/>
              <w:jc w:val="right"/>
              <w:rPr>
                <w:rFonts w:cs="Arial"/>
                <w:sz w:val="20"/>
              </w:rPr>
            </w:pPr>
            <w:r w:rsidRPr="00421A1D">
              <w:rPr>
                <w:sz w:val="20"/>
              </w:rPr>
              <w:t>-84</w:t>
            </w:r>
          </w:p>
        </w:tc>
      </w:tr>
      <w:tr w:rsidR="00421A1D" w:rsidRPr="00421A1D" w14:paraId="43E2A7FF" w14:textId="77777777" w:rsidTr="002D1AF8">
        <w:tc>
          <w:tcPr>
            <w:tcW w:w="2708" w:type="dxa"/>
            <w:shd w:val="clear" w:color="auto" w:fill="auto"/>
            <w:vAlign w:val="center"/>
          </w:tcPr>
          <w:p w14:paraId="5A50210B" w14:textId="79279AA8" w:rsidR="00421A1D" w:rsidRPr="00421A1D" w:rsidRDefault="00421A1D" w:rsidP="00421A1D">
            <w:pPr>
              <w:pStyle w:val="ListParagraph"/>
              <w:ind w:left="0"/>
              <w:rPr>
                <w:rFonts w:cs="Arial"/>
                <w:sz w:val="20"/>
              </w:rPr>
            </w:pPr>
            <w:proofErr w:type="spellStart"/>
            <w:r w:rsidRPr="00421A1D">
              <w:rPr>
                <w:rFonts w:cs="Arial"/>
                <w:color w:val="000000"/>
                <w:sz w:val="20"/>
              </w:rPr>
              <w:t>Interal</w:t>
            </w:r>
            <w:proofErr w:type="spellEnd"/>
            <w:r w:rsidRPr="00421A1D">
              <w:rPr>
                <w:rFonts w:cs="Arial"/>
                <w:color w:val="000000"/>
                <w:sz w:val="20"/>
              </w:rPr>
              <w:t xml:space="preserve"> Audit/CAFT</w:t>
            </w:r>
          </w:p>
        </w:tc>
        <w:tc>
          <w:tcPr>
            <w:tcW w:w="905" w:type="dxa"/>
            <w:shd w:val="clear" w:color="000000" w:fill="FFFFFF"/>
          </w:tcPr>
          <w:p w14:paraId="4F107890" w14:textId="205D8265" w:rsidR="00421A1D" w:rsidRPr="00421A1D" w:rsidRDefault="00421A1D" w:rsidP="00421A1D">
            <w:pPr>
              <w:pStyle w:val="ListParagraph"/>
              <w:ind w:left="0"/>
              <w:jc w:val="right"/>
              <w:rPr>
                <w:rFonts w:cs="Arial"/>
                <w:sz w:val="20"/>
              </w:rPr>
            </w:pPr>
            <w:r w:rsidRPr="00421A1D">
              <w:rPr>
                <w:sz w:val="20"/>
              </w:rPr>
              <w:t>632</w:t>
            </w:r>
          </w:p>
        </w:tc>
        <w:tc>
          <w:tcPr>
            <w:tcW w:w="950" w:type="dxa"/>
            <w:shd w:val="clear" w:color="000000" w:fill="FFFFFF"/>
          </w:tcPr>
          <w:p w14:paraId="45EE16C9" w14:textId="075607EB" w:rsidR="00421A1D" w:rsidRPr="00421A1D" w:rsidRDefault="00421A1D" w:rsidP="00421A1D">
            <w:pPr>
              <w:pStyle w:val="ListParagraph"/>
              <w:ind w:left="0"/>
              <w:jc w:val="right"/>
              <w:rPr>
                <w:rFonts w:cs="Arial"/>
                <w:sz w:val="20"/>
              </w:rPr>
            </w:pPr>
            <w:r w:rsidRPr="00421A1D">
              <w:rPr>
                <w:sz w:val="20"/>
              </w:rPr>
              <w:t>527</w:t>
            </w:r>
          </w:p>
        </w:tc>
        <w:tc>
          <w:tcPr>
            <w:tcW w:w="1106" w:type="dxa"/>
            <w:shd w:val="clear" w:color="000000" w:fill="FFFFFF"/>
          </w:tcPr>
          <w:p w14:paraId="59ECFB21" w14:textId="145BB649" w:rsidR="00421A1D" w:rsidRPr="00421A1D" w:rsidRDefault="00421A1D" w:rsidP="00421A1D">
            <w:pPr>
              <w:pStyle w:val="ListParagraph"/>
              <w:ind w:left="0"/>
              <w:jc w:val="right"/>
              <w:rPr>
                <w:rFonts w:cs="Arial"/>
                <w:sz w:val="20"/>
              </w:rPr>
            </w:pPr>
            <w:r w:rsidRPr="00421A1D">
              <w:rPr>
                <w:sz w:val="20"/>
              </w:rPr>
              <w:t>0</w:t>
            </w:r>
          </w:p>
        </w:tc>
        <w:tc>
          <w:tcPr>
            <w:tcW w:w="1143" w:type="dxa"/>
            <w:shd w:val="clear" w:color="000000" w:fill="FFFFFF"/>
          </w:tcPr>
          <w:p w14:paraId="736B0038" w14:textId="738B8094" w:rsidR="00421A1D" w:rsidRPr="00421A1D" w:rsidRDefault="00421A1D" w:rsidP="00421A1D">
            <w:pPr>
              <w:pStyle w:val="ListParagraph"/>
              <w:ind w:left="0"/>
              <w:jc w:val="right"/>
              <w:rPr>
                <w:rFonts w:cs="Arial"/>
                <w:sz w:val="20"/>
              </w:rPr>
            </w:pPr>
            <w:r w:rsidRPr="00421A1D">
              <w:rPr>
                <w:sz w:val="20"/>
              </w:rPr>
              <w:t>0</w:t>
            </w:r>
          </w:p>
        </w:tc>
        <w:tc>
          <w:tcPr>
            <w:tcW w:w="1128" w:type="dxa"/>
            <w:shd w:val="clear" w:color="000000" w:fill="FFFFFF"/>
          </w:tcPr>
          <w:p w14:paraId="6AF45F60" w14:textId="62B2373D" w:rsidR="00421A1D" w:rsidRPr="00421A1D" w:rsidRDefault="00421A1D" w:rsidP="00421A1D">
            <w:pPr>
              <w:pStyle w:val="ListParagraph"/>
              <w:ind w:left="0"/>
              <w:jc w:val="right"/>
              <w:rPr>
                <w:rFonts w:cs="Arial"/>
                <w:sz w:val="20"/>
              </w:rPr>
            </w:pPr>
            <w:r w:rsidRPr="00421A1D">
              <w:rPr>
                <w:sz w:val="20"/>
              </w:rPr>
              <w:t>0</w:t>
            </w:r>
          </w:p>
        </w:tc>
        <w:tc>
          <w:tcPr>
            <w:tcW w:w="1077" w:type="dxa"/>
            <w:shd w:val="clear" w:color="auto" w:fill="auto"/>
          </w:tcPr>
          <w:p w14:paraId="3BFBC99B" w14:textId="538D7566" w:rsidR="00421A1D" w:rsidRPr="00421A1D" w:rsidRDefault="00421A1D" w:rsidP="00421A1D">
            <w:pPr>
              <w:pStyle w:val="ListParagraph"/>
              <w:ind w:left="0"/>
              <w:jc w:val="right"/>
              <w:rPr>
                <w:rFonts w:cs="Arial"/>
                <w:sz w:val="20"/>
              </w:rPr>
            </w:pPr>
            <w:r w:rsidRPr="00421A1D">
              <w:rPr>
                <w:sz w:val="20"/>
              </w:rPr>
              <w:t>527</w:t>
            </w:r>
          </w:p>
        </w:tc>
        <w:tc>
          <w:tcPr>
            <w:tcW w:w="1189" w:type="dxa"/>
            <w:shd w:val="clear" w:color="000000" w:fill="F2F2F2"/>
          </w:tcPr>
          <w:p w14:paraId="45721028" w14:textId="763E75DA" w:rsidR="00421A1D" w:rsidRPr="00421A1D" w:rsidRDefault="00421A1D" w:rsidP="00421A1D">
            <w:pPr>
              <w:pStyle w:val="ListParagraph"/>
              <w:ind w:left="0"/>
              <w:jc w:val="right"/>
              <w:rPr>
                <w:rFonts w:cs="Arial"/>
                <w:sz w:val="20"/>
              </w:rPr>
            </w:pPr>
            <w:r w:rsidRPr="00421A1D">
              <w:rPr>
                <w:sz w:val="20"/>
              </w:rPr>
              <w:t>-105</w:t>
            </w:r>
          </w:p>
        </w:tc>
      </w:tr>
      <w:tr w:rsidR="00421A1D" w:rsidRPr="00421A1D" w14:paraId="196297D4" w14:textId="77777777" w:rsidTr="002D1AF8">
        <w:tc>
          <w:tcPr>
            <w:tcW w:w="2708" w:type="dxa"/>
            <w:shd w:val="clear" w:color="auto" w:fill="auto"/>
            <w:vAlign w:val="center"/>
          </w:tcPr>
          <w:p w14:paraId="3079A5F6" w14:textId="274CA7BC" w:rsidR="00421A1D" w:rsidRPr="00421A1D" w:rsidRDefault="00421A1D" w:rsidP="00421A1D">
            <w:pPr>
              <w:pStyle w:val="ListParagraph"/>
              <w:ind w:left="0"/>
              <w:jc w:val="both"/>
              <w:rPr>
                <w:rFonts w:cs="Arial"/>
                <w:b/>
                <w:bCs/>
                <w:sz w:val="20"/>
              </w:rPr>
            </w:pPr>
            <w:r w:rsidRPr="00421A1D">
              <w:rPr>
                <w:rFonts w:cs="Arial"/>
                <w:b/>
                <w:bCs/>
                <w:color w:val="000000"/>
                <w:sz w:val="20"/>
              </w:rPr>
              <w:t>Totals</w:t>
            </w:r>
          </w:p>
        </w:tc>
        <w:tc>
          <w:tcPr>
            <w:tcW w:w="905" w:type="dxa"/>
            <w:shd w:val="clear" w:color="000000" w:fill="FFFFFF"/>
          </w:tcPr>
          <w:p w14:paraId="45E09699" w14:textId="7E8BED4D" w:rsidR="00421A1D" w:rsidRPr="00421A1D" w:rsidRDefault="00421A1D" w:rsidP="00421A1D">
            <w:pPr>
              <w:pStyle w:val="ListParagraph"/>
              <w:ind w:left="0"/>
              <w:jc w:val="right"/>
              <w:rPr>
                <w:rFonts w:cs="Arial"/>
                <w:b/>
                <w:bCs/>
                <w:sz w:val="20"/>
              </w:rPr>
            </w:pPr>
            <w:r w:rsidRPr="00421A1D">
              <w:rPr>
                <w:b/>
                <w:bCs/>
                <w:sz w:val="20"/>
              </w:rPr>
              <w:t>39,553</w:t>
            </w:r>
          </w:p>
        </w:tc>
        <w:tc>
          <w:tcPr>
            <w:tcW w:w="950" w:type="dxa"/>
            <w:shd w:val="clear" w:color="000000" w:fill="FFFFFF"/>
          </w:tcPr>
          <w:p w14:paraId="53FE4951" w14:textId="1383B034" w:rsidR="00421A1D" w:rsidRPr="00421A1D" w:rsidRDefault="00421A1D" w:rsidP="00421A1D">
            <w:pPr>
              <w:pStyle w:val="ListParagraph"/>
              <w:ind w:left="0"/>
              <w:jc w:val="right"/>
              <w:rPr>
                <w:rFonts w:cs="Arial"/>
                <w:b/>
                <w:bCs/>
                <w:sz w:val="20"/>
              </w:rPr>
            </w:pPr>
            <w:r w:rsidRPr="00421A1D">
              <w:rPr>
                <w:b/>
                <w:bCs/>
                <w:sz w:val="20"/>
              </w:rPr>
              <w:t>39,076</w:t>
            </w:r>
          </w:p>
        </w:tc>
        <w:tc>
          <w:tcPr>
            <w:tcW w:w="1106" w:type="dxa"/>
            <w:shd w:val="clear" w:color="000000" w:fill="FFFFFF"/>
          </w:tcPr>
          <w:p w14:paraId="5D4F8B2E" w14:textId="5B1F5515" w:rsidR="00421A1D" w:rsidRPr="00421A1D" w:rsidRDefault="00421A1D" w:rsidP="00421A1D">
            <w:pPr>
              <w:pStyle w:val="ListParagraph"/>
              <w:ind w:left="0"/>
              <w:jc w:val="right"/>
              <w:rPr>
                <w:rFonts w:cs="Arial"/>
                <w:b/>
                <w:bCs/>
                <w:sz w:val="20"/>
              </w:rPr>
            </w:pPr>
            <w:r w:rsidRPr="00421A1D">
              <w:rPr>
                <w:b/>
                <w:bCs/>
                <w:sz w:val="20"/>
              </w:rPr>
              <w:t>23</w:t>
            </w:r>
          </w:p>
        </w:tc>
        <w:tc>
          <w:tcPr>
            <w:tcW w:w="1143" w:type="dxa"/>
            <w:shd w:val="clear" w:color="000000" w:fill="FFFFFF"/>
          </w:tcPr>
          <w:p w14:paraId="4F9B4CFC" w14:textId="6900834E" w:rsidR="00421A1D" w:rsidRPr="00421A1D" w:rsidRDefault="00421A1D" w:rsidP="00421A1D">
            <w:pPr>
              <w:pStyle w:val="ListParagraph"/>
              <w:ind w:left="0"/>
              <w:jc w:val="right"/>
              <w:rPr>
                <w:rFonts w:cs="Arial"/>
                <w:b/>
                <w:bCs/>
                <w:sz w:val="20"/>
              </w:rPr>
            </w:pPr>
            <w:r w:rsidRPr="00421A1D">
              <w:rPr>
                <w:b/>
                <w:bCs/>
                <w:sz w:val="20"/>
              </w:rPr>
              <w:t>260</w:t>
            </w:r>
          </w:p>
        </w:tc>
        <w:tc>
          <w:tcPr>
            <w:tcW w:w="1128" w:type="dxa"/>
            <w:shd w:val="clear" w:color="000000" w:fill="FFFFFF"/>
          </w:tcPr>
          <w:p w14:paraId="13E54142" w14:textId="2AB67D8F" w:rsidR="00421A1D" w:rsidRPr="00421A1D" w:rsidRDefault="00421A1D" w:rsidP="00421A1D">
            <w:pPr>
              <w:pStyle w:val="ListParagraph"/>
              <w:ind w:left="0"/>
              <w:jc w:val="right"/>
              <w:rPr>
                <w:rFonts w:cs="Arial"/>
                <w:b/>
                <w:bCs/>
                <w:sz w:val="20"/>
              </w:rPr>
            </w:pPr>
            <w:r w:rsidRPr="00421A1D">
              <w:rPr>
                <w:b/>
                <w:bCs/>
                <w:sz w:val="20"/>
              </w:rPr>
              <w:t>233</w:t>
            </w:r>
          </w:p>
        </w:tc>
        <w:tc>
          <w:tcPr>
            <w:tcW w:w="1077" w:type="dxa"/>
            <w:shd w:val="clear" w:color="000000" w:fill="FFFFFF"/>
          </w:tcPr>
          <w:p w14:paraId="5D052F0E" w14:textId="113903E6" w:rsidR="00421A1D" w:rsidRPr="00421A1D" w:rsidRDefault="00421A1D" w:rsidP="00421A1D">
            <w:pPr>
              <w:pStyle w:val="ListParagraph"/>
              <w:ind w:left="0"/>
              <w:jc w:val="right"/>
              <w:rPr>
                <w:rFonts w:cs="Arial"/>
                <w:b/>
                <w:bCs/>
                <w:sz w:val="20"/>
              </w:rPr>
            </w:pPr>
            <w:r w:rsidRPr="00421A1D">
              <w:rPr>
                <w:b/>
                <w:bCs/>
                <w:sz w:val="20"/>
              </w:rPr>
              <w:t>39,592</w:t>
            </w:r>
          </w:p>
        </w:tc>
        <w:tc>
          <w:tcPr>
            <w:tcW w:w="1189" w:type="dxa"/>
            <w:shd w:val="clear" w:color="000000" w:fill="FFFFFF"/>
          </w:tcPr>
          <w:p w14:paraId="2AEB2120" w14:textId="5539A254" w:rsidR="00421A1D" w:rsidRPr="00421A1D" w:rsidRDefault="00421A1D" w:rsidP="00421A1D">
            <w:pPr>
              <w:pStyle w:val="ListParagraph"/>
              <w:ind w:left="0"/>
              <w:jc w:val="right"/>
              <w:rPr>
                <w:rFonts w:cs="Arial"/>
                <w:b/>
                <w:bCs/>
                <w:sz w:val="20"/>
              </w:rPr>
            </w:pPr>
            <w:r w:rsidRPr="00421A1D">
              <w:rPr>
                <w:b/>
                <w:bCs/>
                <w:sz w:val="20"/>
              </w:rPr>
              <w:t>39</w:t>
            </w:r>
          </w:p>
        </w:tc>
      </w:tr>
    </w:tbl>
    <w:p w14:paraId="6D50E562" w14:textId="537CD56A" w:rsidR="00007FDF" w:rsidRDefault="00007FDF" w:rsidP="00007FDF">
      <w:pPr>
        <w:jc w:val="both"/>
        <w:rPr>
          <w:rFonts w:cs="Arial"/>
          <w:b/>
          <w:color w:val="FF0000"/>
          <w:szCs w:val="24"/>
        </w:rPr>
      </w:pPr>
    </w:p>
    <w:p w14:paraId="7714243D" w14:textId="77777777" w:rsidR="00007FDF" w:rsidRPr="00007FDF" w:rsidRDefault="00007FDF" w:rsidP="00007FDF">
      <w:pPr>
        <w:jc w:val="both"/>
        <w:rPr>
          <w:rFonts w:cs="Arial"/>
          <w:b/>
          <w:color w:val="FF0000"/>
          <w:szCs w:val="24"/>
        </w:rPr>
      </w:pPr>
    </w:p>
    <w:p w14:paraId="6869CDB4" w14:textId="5F62CFA7" w:rsidR="001B5082" w:rsidRPr="00FD3602" w:rsidRDefault="001B5082" w:rsidP="007A4D31">
      <w:pPr>
        <w:pStyle w:val="ListParagraph"/>
        <w:numPr>
          <w:ilvl w:val="0"/>
          <w:numId w:val="5"/>
        </w:numPr>
        <w:ind w:left="567" w:hanging="567"/>
        <w:jc w:val="both"/>
        <w:rPr>
          <w:rFonts w:cs="Arial"/>
          <w:szCs w:val="24"/>
        </w:rPr>
      </w:pPr>
      <w:r w:rsidRPr="00FD3602">
        <w:rPr>
          <w:rFonts w:cs="Arial"/>
          <w:szCs w:val="24"/>
        </w:rPr>
        <w:t xml:space="preserve">At the end of the financial year the Resources directorate is reporting </w:t>
      </w:r>
      <w:r w:rsidR="00566F47" w:rsidRPr="00FD3602">
        <w:rPr>
          <w:rFonts w:cs="Arial"/>
          <w:szCs w:val="24"/>
        </w:rPr>
        <w:t xml:space="preserve">a </w:t>
      </w:r>
      <w:r w:rsidRPr="00FD3602">
        <w:rPr>
          <w:rFonts w:cs="Arial"/>
          <w:szCs w:val="24"/>
        </w:rPr>
        <w:t>net overspend of £</w:t>
      </w:r>
      <w:r w:rsidR="00FD3602" w:rsidRPr="00FD3602">
        <w:rPr>
          <w:rFonts w:cs="Arial"/>
          <w:szCs w:val="24"/>
        </w:rPr>
        <w:t>3</w:t>
      </w:r>
      <w:r w:rsidR="003C315C">
        <w:rPr>
          <w:rFonts w:cs="Arial"/>
          <w:szCs w:val="24"/>
        </w:rPr>
        <w:t>9</w:t>
      </w:r>
      <w:r w:rsidR="00FD3602" w:rsidRPr="00FD3602">
        <w:rPr>
          <w:rFonts w:cs="Arial"/>
          <w:szCs w:val="24"/>
        </w:rPr>
        <w:t>k</w:t>
      </w:r>
      <w:r w:rsidR="007A7B72" w:rsidRPr="00FD3602">
        <w:rPr>
          <w:rFonts w:cs="Arial"/>
          <w:szCs w:val="24"/>
        </w:rPr>
        <w:t xml:space="preserve"> after </w:t>
      </w:r>
      <w:proofErr w:type="gramStart"/>
      <w:r w:rsidR="007A7B72" w:rsidRPr="00FD3602">
        <w:rPr>
          <w:rFonts w:cs="Arial"/>
          <w:szCs w:val="24"/>
        </w:rPr>
        <w:t>taking into account</w:t>
      </w:r>
      <w:proofErr w:type="gramEnd"/>
      <w:r w:rsidR="007A7B72" w:rsidRPr="00FD3602">
        <w:rPr>
          <w:rFonts w:cs="Arial"/>
          <w:szCs w:val="24"/>
        </w:rPr>
        <w:t xml:space="preserve"> </w:t>
      </w:r>
      <w:r w:rsidR="00FD3602" w:rsidRPr="00FD3602">
        <w:rPr>
          <w:rFonts w:cs="Arial"/>
          <w:szCs w:val="24"/>
        </w:rPr>
        <w:t>carry forwards,</w:t>
      </w:r>
      <w:r w:rsidR="007A7B72" w:rsidRPr="00FD3602">
        <w:rPr>
          <w:rFonts w:cs="Arial"/>
          <w:szCs w:val="24"/>
        </w:rPr>
        <w:t xml:space="preserve"> </w:t>
      </w:r>
      <w:r w:rsidRPr="00FD3602">
        <w:rPr>
          <w:rFonts w:cs="Arial"/>
          <w:szCs w:val="24"/>
          <w:lang w:val="en-US"/>
        </w:rPr>
        <w:t>the draw down and contribution to reserves and cross divisional adjustments.</w:t>
      </w:r>
    </w:p>
    <w:p w14:paraId="6D4459DA" w14:textId="77777777" w:rsidR="001B5082" w:rsidRPr="00B37833" w:rsidRDefault="001B5082" w:rsidP="001B5082">
      <w:pPr>
        <w:pStyle w:val="ListParagraph"/>
        <w:ind w:left="567"/>
        <w:jc w:val="both"/>
        <w:rPr>
          <w:rFonts w:cs="Arial"/>
          <w:color w:val="FF0000"/>
          <w:szCs w:val="24"/>
        </w:rPr>
      </w:pPr>
    </w:p>
    <w:p w14:paraId="3C5051CB" w14:textId="70E08F7E" w:rsidR="001B5082" w:rsidRPr="005475D3" w:rsidRDefault="001B5082" w:rsidP="007A4D31">
      <w:pPr>
        <w:pStyle w:val="ListParagraph"/>
        <w:numPr>
          <w:ilvl w:val="0"/>
          <w:numId w:val="5"/>
        </w:numPr>
        <w:ind w:left="567" w:hanging="567"/>
        <w:jc w:val="both"/>
        <w:rPr>
          <w:rFonts w:cs="Arial"/>
          <w:szCs w:val="24"/>
        </w:rPr>
      </w:pPr>
      <w:r w:rsidRPr="005475D3">
        <w:rPr>
          <w:rFonts w:cs="Arial"/>
          <w:szCs w:val="24"/>
          <w:lang w:val="en-US"/>
        </w:rPr>
        <w:lastRenderedPageBreak/>
        <w:t xml:space="preserve">The net overspend </w:t>
      </w:r>
      <w:r w:rsidR="00FD3602" w:rsidRPr="005475D3">
        <w:rPr>
          <w:rFonts w:cs="Arial"/>
          <w:szCs w:val="24"/>
          <w:lang w:val="en-US"/>
        </w:rPr>
        <w:t>includes</w:t>
      </w:r>
      <w:r w:rsidRPr="005475D3">
        <w:rPr>
          <w:rFonts w:cs="Arial"/>
          <w:szCs w:val="24"/>
          <w:lang w:val="en-US"/>
        </w:rPr>
        <w:t xml:space="preserve"> £1.</w:t>
      </w:r>
      <w:r w:rsidR="00FD3602" w:rsidRPr="005475D3">
        <w:rPr>
          <w:rFonts w:cs="Arial"/>
          <w:szCs w:val="24"/>
          <w:lang w:val="en-US"/>
        </w:rPr>
        <w:t>517</w:t>
      </w:r>
      <w:r w:rsidRPr="005475D3">
        <w:rPr>
          <w:rFonts w:cs="Arial"/>
          <w:szCs w:val="24"/>
          <w:lang w:val="en-US"/>
        </w:rPr>
        <w:t xml:space="preserve">m </w:t>
      </w:r>
      <w:r w:rsidR="00DF3190" w:rsidRPr="005475D3">
        <w:rPr>
          <w:rFonts w:cs="Arial"/>
          <w:szCs w:val="24"/>
          <w:lang w:val="en-US"/>
        </w:rPr>
        <w:t xml:space="preserve">of </w:t>
      </w:r>
      <w:proofErr w:type="spellStart"/>
      <w:r w:rsidR="00DF3190" w:rsidRPr="005475D3">
        <w:rPr>
          <w:rFonts w:cs="Arial"/>
          <w:szCs w:val="24"/>
          <w:lang w:val="en-US"/>
        </w:rPr>
        <w:t>moderni</w:t>
      </w:r>
      <w:r w:rsidR="00D775D6" w:rsidRPr="005475D3">
        <w:rPr>
          <w:rFonts w:cs="Arial"/>
          <w:szCs w:val="24"/>
          <w:lang w:val="en-US"/>
        </w:rPr>
        <w:t>s</w:t>
      </w:r>
      <w:r w:rsidR="00DF3190" w:rsidRPr="005475D3">
        <w:rPr>
          <w:rFonts w:cs="Arial"/>
          <w:szCs w:val="24"/>
          <w:lang w:val="en-US"/>
        </w:rPr>
        <w:t>ation</w:t>
      </w:r>
      <w:proofErr w:type="spellEnd"/>
      <w:r w:rsidR="00DF3190" w:rsidRPr="005475D3">
        <w:rPr>
          <w:rFonts w:cs="Arial"/>
          <w:szCs w:val="24"/>
          <w:lang w:val="en-US"/>
        </w:rPr>
        <w:t xml:space="preserve"> and transformation </w:t>
      </w:r>
      <w:r w:rsidRPr="005475D3">
        <w:rPr>
          <w:rFonts w:cs="Arial"/>
          <w:szCs w:val="24"/>
          <w:lang w:val="en-US"/>
        </w:rPr>
        <w:t xml:space="preserve">spend which was planned to be funded from </w:t>
      </w:r>
      <w:r w:rsidR="00FD3602" w:rsidRPr="005475D3">
        <w:rPr>
          <w:rFonts w:cs="Arial"/>
          <w:szCs w:val="24"/>
          <w:lang w:val="en-US"/>
        </w:rPr>
        <w:t>capital flexibilities</w:t>
      </w:r>
      <w:r w:rsidR="00E552B8" w:rsidRPr="005475D3">
        <w:rPr>
          <w:rFonts w:cs="Arial"/>
          <w:szCs w:val="24"/>
          <w:lang w:val="en-US"/>
        </w:rPr>
        <w:t xml:space="preserve">. </w:t>
      </w:r>
      <w:r w:rsidR="00FD3602" w:rsidRPr="005475D3">
        <w:rPr>
          <w:rFonts w:cs="Arial"/>
          <w:szCs w:val="24"/>
          <w:lang w:val="en-US"/>
        </w:rPr>
        <w:t xml:space="preserve"> </w:t>
      </w:r>
      <w:r w:rsidR="00E552B8" w:rsidRPr="005475D3">
        <w:rPr>
          <w:rFonts w:cs="Arial"/>
          <w:szCs w:val="24"/>
          <w:lang w:val="en-US"/>
        </w:rPr>
        <w:t>H</w:t>
      </w:r>
      <w:r w:rsidR="00FD3602" w:rsidRPr="005475D3">
        <w:rPr>
          <w:rFonts w:cs="Arial"/>
          <w:szCs w:val="24"/>
          <w:lang w:val="en-US"/>
        </w:rPr>
        <w:t>owever</w:t>
      </w:r>
      <w:r w:rsidR="005475D3">
        <w:rPr>
          <w:rFonts w:cs="Arial"/>
          <w:szCs w:val="24"/>
          <w:lang w:val="en-US"/>
        </w:rPr>
        <w:t>,</w:t>
      </w:r>
      <w:r w:rsidR="00FD3602" w:rsidRPr="005475D3">
        <w:rPr>
          <w:rFonts w:cs="Arial"/>
          <w:szCs w:val="24"/>
          <w:lang w:val="en-US"/>
        </w:rPr>
        <w:t xml:space="preserve"> due to the overall outturn position there was sufficient underspend to fund these cost</w:t>
      </w:r>
      <w:r w:rsidR="00E552B8" w:rsidRPr="005475D3">
        <w:rPr>
          <w:rFonts w:cs="Arial"/>
          <w:szCs w:val="24"/>
          <w:lang w:val="en-US"/>
        </w:rPr>
        <w:t xml:space="preserve">s allowing the capital flexibilities to be preserved to support the MTFS. </w:t>
      </w:r>
    </w:p>
    <w:p w14:paraId="70C94683" w14:textId="77777777" w:rsidR="00FD3602" w:rsidRDefault="00FD3602" w:rsidP="00FD3602">
      <w:pPr>
        <w:pStyle w:val="ListParagraph"/>
        <w:ind w:left="567"/>
        <w:jc w:val="both"/>
        <w:rPr>
          <w:rFonts w:cs="Arial"/>
          <w:color w:val="FF0000"/>
          <w:szCs w:val="24"/>
        </w:rPr>
      </w:pPr>
    </w:p>
    <w:p w14:paraId="2A312BC0" w14:textId="01D55923" w:rsidR="001B5082" w:rsidRPr="00FD3602" w:rsidRDefault="001B5082" w:rsidP="007A4D31">
      <w:pPr>
        <w:pStyle w:val="ListParagraph"/>
        <w:numPr>
          <w:ilvl w:val="0"/>
          <w:numId w:val="5"/>
        </w:numPr>
        <w:ind w:left="567" w:hanging="567"/>
        <w:jc w:val="both"/>
        <w:rPr>
          <w:rFonts w:cs="Arial"/>
          <w:szCs w:val="24"/>
        </w:rPr>
      </w:pPr>
      <w:r w:rsidRPr="00FD3602">
        <w:rPr>
          <w:rFonts w:cs="Arial"/>
          <w:szCs w:val="24"/>
        </w:rPr>
        <w:t>The remaining variances are set out as follows:</w:t>
      </w:r>
    </w:p>
    <w:p w14:paraId="3B682A82" w14:textId="77777777" w:rsidR="001B5082" w:rsidRPr="00FD3602" w:rsidRDefault="001B5082" w:rsidP="001B5082">
      <w:pPr>
        <w:pStyle w:val="ListParagraph"/>
        <w:rPr>
          <w:rFonts w:cs="Arial"/>
          <w:b/>
          <w:szCs w:val="24"/>
          <w:lang w:val="en-US"/>
        </w:rPr>
      </w:pPr>
    </w:p>
    <w:p w14:paraId="6CE0AF2C" w14:textId="60EEA3DC" w:rsidR="004128EA" w:rsidRPr="003C315C" w:rsidRDefault="001B5082" w:rsidP="007A4D31">
      <w:pPr>
        <w:pStyle w:val="ListParagraph"/>
        <w:numPr>
          <w:ilvl w:val="0"/>
          <w:numId w:val="25"/>
        </w:numPr>
        <w:jc w:val="both"/>
        <w:rPr>
          <w:rFonts w:cs="Arial"/>
          <w:szCs w:val="24"/>
        </w:rPr>
      </w:pPr>
      <w:r w:rsidRPr="00FD3602">
        <w:rPr>
          <w:rFonts w:cs="Arial"/>
          <w:b/>
          <w:szCs w:val="24"/>
          <w:lang w:val="en-US"/>
        </w:rPr>
        <w:t>Business Support</w:t>
      </w:r>
      <w:r w:rsidRPr="00FD3602">
        <w:rPr>
          <w:rFonts w:cs="Arial"/>
          <w:szCs w:val="24"/>
          <w:lang w:val="en-US"/>
        </w:rPr>
        <w:t xml:space="preserve"> net underspend </w:t>
      </w:r>
      <w:r w:rsidR="007A7B72" w:rsidRPr="00FD3602">
        <w:rPr>
          <w:rFonts w:cs="Arial"/>
          <w:szCs w:val="24"/>
          <w:lang w:val="en-US"/>
        </w:rPr>
        <w:t xml:space="preserve">of </w:t>
      </w:r>
      <w:r w:rsidRPr="00FD3602">
        <w:rPr>
          <w:rFonts w:cs="Arial"/>
          <w:szCs w:val="24"/>
          <w:lang w:val="en-US"/>
        </w:rPr>
        <w:t>£</w:t>
      </w:r>
      <w:r w:rsidR="00FD3602" w:rsidRPr="00FD3602">
        <w:rPr>
          <w:rFonts w:cs="Arial"/>
          <w:szCs w:val="24"/>
          <w:lang w:val="en-US"/>
        </w:rPr>
        <w:t>47</w:t>
      </w:r>
      <w:r w:rsidRPr="00FD3602">
        <w:rPr>
          <w:rFonts w:cs="Arial"/>
          <w:szCs w:val="24"/>
          <w:lang w:val="en-US"/>
        </w:rPr>
        <w:t xml:space="preserve">k </w:t>
      </w:r>
      <w:r w:rsidR="00FD3602" w:rsidRPr="00FD3602">
        <w:rPr>
          <w:rFonts w:cs="Arial"/>
          <w:szCs w:val="24"/>
          <w:lang w:val="en-US"/>
        </w:rPr>
        <w:t>due to lower cost of the postal service</w:t>
      </w:r>
      <w:r w:rsidRPr="00FD3602">
        <w:rPr>
          <w:rFonts w:cs="Arial"/>
          <w:szCs w:val="24"/>
          <w:lang w:val="en-US"/>
        </w:rPr>
        <w:t xml:space="preserve">. </w:t>
      </w:r>
    </w:p>
    <w:p w14:paraId="269F852A" w14:textId="77777777" w:rsidR="003C315C" w:rsidRPr="003C315C" w:rsidRDefault="003C315C" w:rsidP="003C315C">
      <w:pPr>
        <w:pStyle w:val="ListParagraph"/>
        <w:ind w:left="1287"/>
        <w:jc w:val="both"/>
        <w:rPr>
          <w:rFonts w:cs="Arial"/>
          <w:szCs w:val="24"/>
        </w:rPr>
      </w:pPr>
    </w:p>
    <w:p w14:paraId="3266C606" w14:textId="2BC7AF5E" w:rsidR="003C315C" w:rsidRPr="00FD3602" w:rsidRDefault="003C315C" w:rsidP="003C315C">
      <w:pPr>
        <w:pStyle w:val="ListParagraph"/>
        <w:numPr>
          <w:ilvl w:val="0"/>
          <w:numId w:val="25"/>
        </w:numPr>
        <w:jc w:val="both"/>
        <w:rPr>
          <w:rFonts w:cs="Arial"/>
          <w:szCs w:val="24"/>
        </w:rPr>
      </w:pPr>
      <w:r w:rsidRPr="00FD3602">
        <w:rPr>
          <w:rFonts w:cs="Arial"/>
          <w:b/>
          <w:szCs w:val="24"/>
          <w:lang w:val="en-US"/>
        </w:rPr>
        <w:t>Finance</w:t>
      </w:r>
      <w:r w:rsidRPr="00FD3602">
        <w:rPr>
          <w:rFonts w:cs="Arial"/>
          <w:szCs w:val="24"/>
          <w:lang w:val="en-US"/>
        </w:rPr>
        <w:t xml:space="preserve"> </w:t>
      </w:r>
      <w:r w:rsidRPr="00FD3602">
        <w:rPr>
          <w:rFonts w:cs="Arial"/>
          <w:b/>
          <w:bCs/>
          <w:szCs w:val="24"/>
          <w:lang w:val="en-US"/>
        </w:rPr>
        <w:t>and</w:t>
      </w:r>
      <w:r w:rsidRPr="00FD3602">
        <w:rPr>
          <w:rFonts w:cs="Arial"/>
          <w:szCs w:val="24"/>
          <w:lang w:val="en-US"/>
        </w:rPr>
        <w:t xml:space="preserve"> </w:t>
      </w:r>
      <w:r w:rsidRPr="00FD3602">
        <w:rPr>
          <w:rFonts w:cs="Arial"/>
          <w:b/>
          <w:bCs/>
          <w:szCs w:val="24"/>
          <w:lang w:val="en-US"/>
        </w:rPr>
        <w:t>Insurance -</w:t>
      </w:r>
      <w:r w:rsidRPr="00FD3602">
        <w:rPr>
          <w:rFonts w:cs="Arial"/>
          <w:szCs w:val="24"/>
          <w:lang w:val="en-US"/>
        </w:rPr>
        <w:t xml:space="preserve"> net overspend £34k. This is made up of £88k overspend due to loss of Insurance income as a result of several schools joining the Government’s Risk Protection Arrangement. This is partially offset by £54k underspend across the finance teams, mainly due to the lower costs of supplies and services in the Pensions section.</w:t>
      </w:r>
    </w:p>
    <w:p w14:paraId="13C5674B" w14:textId="77777777" w:rsidR="00B07CC8" w:rsidRPr="00B07CC8" w:rsidRDefault="00B07CC8" w:rsidP="00B07CC8">
      <w:pPr>
        <w:pStyle w:val="ListParagraph"/>
        <w:ind w:left="1287"/>
        <w:jc w:val="both"/>
        <w:rPr>
          <w:rFonts w:cs="Arial"/>
          <w:szCs w:val="24"/>
        </w:rPr>
      </w:pPr>
    </w:p>
    <w:p w14:paraId="16842D5A" w14:textId="57CAA268" w:rsidR="003C315C" w:rsidRPr="00FD3602" w:rsidRDefault="003C315C" w:rsidP="003C315C">
      <w:pPr>
        <w:pStyle w:val="ListParagraph"/>
        <w:numPr>
          <w:ilvl w:val="0"/>
          <w:numId w:val="25"/>
        </w:numPr>
        <w:jc w:val="both"/>
        <w:rPr>
          <w:rFonts w:cs="Arial"/>
          <w:szCs w:val="24"/>
        </w:rPr>
      </w:pPr>
      <w:r w:rsidRPr="00FD3602">
        <w:rPr>
          <w:rFonts w:cs="Arial"/>
          <w:b/>
          <w:szCs w:val="24"/>
          <w:lang w:val="en-US"/>
        </w:rPr>
        <w:t>Managemen</w:t>
      </w:r>
      <w:r w:rsidRPr="00FD3602">
        <w:rPr>
          <w:rFonts w:cs="Arial"/>
          <w:szCs w:val="24"/>
          <w:lang w:val="en-US"/>
        </w:rPr>
        <w:t>t – net overspend £578k. This is made up of £618k cost of Flexible Futures and Whole Service Review functions originally planned to be funded from capital flexibilities. This is partially offset by net underspend of £40k across other parts of the management team.</w:t>
      </w:r>
    </w:p>
    <w:p w14:paraId="3D96C613" w14:textId="77777777" w:rsidR="00B07CC8" w:rsidRPr="00B07CC8" w:rsidRDefault="00B07CC8" w:rsidP="00B07CC8">
      <w:pPr>
        <w:pStyle w:val="ListParagraph"/>
        <w:ind w:left="1287"/>
        <w:jc w:val="both"/>
        <w:rPr>
          <w:rFonts w:cs="Arial"/>
          <w:color w:val="FF0000"/>
          <w:szCs w:val="24"/>
        </w:rPr>
      </w:pPr>
    </w:p>
    <w:p w14:paraId="2C9A6FF3" w14:textId="3D9CA5F0" w:rsidR="003C315C" w:rsidRPr="00B37833" w:rsidRDefault="003C315C" w:rsidP="003C315C">
      <w:pPr>
        <w:pStyle w:val="ListParagraph"/>
        <w:numPr>
          <w:ilvl w:val="0"/>
          <w:numId w:val="25"/>
        </w:numPr>
        <w:jc w:val="both"/>
        <w:rPr>
          <w:rFonts w:cs="Arial"/>
          <w:color w:val="FF0000"/>
          <w:szCs w:val="24"/>
        </w:rPr>
      </w:pPr>
      <w:r w:rsidRPr="00C34991">
        <w:rPr>
          <w:rFonts w:cs="Arial"/>
          <w:b/>
          <w:szCs w:val="24"/>
          <w:lang w:val="en-US"/>
        </w:rPr>
        <w:t xml:space="preserve">Strategy </w:t>
      </w:r>
      <w:r w:rsidRPr="00C34991">
        <w:rPr>
          <w:rFonts w:cs="Arial"/>
          <w:bCs/>
          <w:szCs w:val="24"/>
          <w:lang w:val="en-US"/>
        </w:rPr>
        <w:t xml:space="preserve">- net </w:t>
      </w:r>
      <w:r w:rsidRPr="00C34991">
        <w:rPr>
          <w:rFonts w:cs="Arial"/>
          <w:szCs w:val="24"/>
          <w:lang w:val="en-US"/>
        </w:rPr>
        <w:t xml:space="preserve">overspend £150k.  This is made up of a net overspend of £113k related to the </w:t>
      </w:r>
      <w:proofErr w:type="spellStart"/>
      <w:r w:rsidRPr="00C34991">
        <w:rPr>
          <w:rFonts w:cs="Arial"/>
          <w:szCs w:val="24"/>
          <w:lang w:val="en-US"/>
        </w:rPr>
        <w:t>Modernis</w:t>
      </w:r>
      <w:r>
        <w:rPr>
          <w:rFonts w:cs="Arial"/>
          <w:szCs w:val="24"/>
          <w:lang w:val="en-US"/>
        </w:rPr>
        <w:t>a</w:t>
      </w:r>
      <w:r w:rsidRPr="00C34991">
        <w:rPr>
          <w:rFonts w:cs="Arial"/>
          <w:szCs w:val="24"/>
          <w:lang w:val="en-US"/>
        </w:rPr>
        <w:t>tion</w:t>
      </w:r>
      <w:proofErr w:type="spellEnd"/>
      <w:r w:rsidRPr="00C34991">
        <w:rPr>
          <w:rFonts w:cs="Arial"/>
          <w:szCs w:val="24"/>
          <w:lang w:val="en-US"/>
        </w:rPr>
        <w:t xml:space="preserve"> </w:t>
      </w:r>
      <w:proofErr w:type="spellStart"/>
      <w:r w:rsidRPr="00C34991">
        <w:rPr>
          <w:rFonts w:cs="Arial"/>
          <w:szCs w:val="24"/>
          <w:lang w:val="en-US"/>
        </w:rPr>
        <w:t>programme</w:t>
      </w:r>
      <w:proofErr w:type="spellEnd"/>
      <w:r w:rsidRPr="00C34991">
        <w:rPr>
          <w:rFonts w:cs="Arial"/>
          <w:szCs w:val="24"/>
          <w:lang w:val="en-US"/>
        </w:rPr>
        <w:t xml:space="preserve"> originally planned to be funded from capital flexibilities. The remaining £37k net overspend is due to smaller variances across the division</w:t>
      </w:r>
      <w:r>
        <w:rPr>
          <w:rFonts w:cs="Arial"/>
          <w:color w:val="FF0000"/>
          <w:szCs w:val="24"/>
          <w:lang w:val="en-US"/>
        </w:rPr>
        <w:t>.</w:t>
      </w:r>
      <w:r w:rsidRPr="00B37833">
        <w:rPr>
          <w:rFonts w:cs="Arial"/>
          <w:color w:val="FF0000"/>
          <w:szCs w:val="24"/>
          <w:lang w:val="en-US"/>
        </w:rPr>
        <w:t xml:space="preserve"> </w:t>
      </w:r>
    </w:p>
    <w:p w14:paraId="62C6F556" w14:textId="77777777" w:rsidR="00B07CC8" w:rsidRPr="00B07CC8" w:rsidRDefault="00B07CC8" w:rsidP="00B07CC8">
      <w:pPr>
        <w:pStyle w:val="ListParagraph"/>
        <w:ind w:left="1287"/>
        <w:jc w:val="both"/>
        <w:rPr>
          <w:rFonts w:cs="Arial"/>
          <w:color w:val="FF0000"/>
          <w:szCs w:val="24"/>
        </w:rPr>
      </w:pPr>
      <w:bookmarkStart w:id="3" w:name="_Hlk73626162"/>
    </w:p>
    <w:p w14:paraId="269F276F" w14:textId="7DD5795D" w:rsidR="003C315C" w:rsidRPr="00EB1A01" w:rsidRDefault="003C315C" w:rsidP="003C315C">
      <w:pPr>
        <w:pStyle w:val="ListParagraph"/>
        <w:numPr>
          <w:ilvl w:val="0"/>
          <w:numId w:val="25"/>
        </w:numPr>
        <w:jc w:val="both"/>
        <w:rPr>
          <w:rFonts w:cs="Arial"/>
          <w:szCs w:val="24"/>
        </w:rPr>
      </w:pPr>
      <w:r w:rsidRPr="00EB1A01">
        <w:rPr>
          <w:rFonts w:cs="Arial"/>
          <w:b/>
          <w:szCs w:val="24"/>
        </w:rPr>
        <w:t>Revenues and Benefit</w:t>
      </w:r>
      <w:bookmarkEnd w:id="3"/>
      <w:r w:rsidRPr="00EB1A01">
        <w:rPr>
          <w:rFonts w:cs="Arial"/>
          <w:b/>
          <w:szCs w:val="24"/>
        </w:rPr>
        <w:t xml:space="preserve"> – </w:t>
      </w:r>
      <w:r w:rsidRPr="00EB1A01">
        <w:rPr>
          <w:rFonts w:cs="Arial"/>
          <w:bCs/>
          <w:szCs w:val="24"/>
        </w:rPr>
        <w:t>net underspend £1.2</w:t>
      </w:r>
      <w:r w:rsidR="00B07CC8" w:rsidRPr="00EB1A01">
        <w:rPr>
          <w:rFonts w:cs="Arial"/>
          <w:bCs/>
          <w:szCs w:val="24"/>
        </w:rPr>
        <w:t>02</w:t>
      </w:r>
      <w:r w:rsidRPr="00EB1A01">
        <w:rPr>
          <w:rFonts w:cs="Arial"/>
          <w:bCs/>
          <w:szCs w:val="24"/>
        </w:rPr>
        <w:t>m. This includes an underspend in Benefits of £97k and an underspend in Revenues of £1.1</w:t>
      </w:r>
      <w:r w:rsidR="00F862BF">
        <w:rPr>
          <w:rFonts w:cs="Arial"/>
          <w:bCs/>
          <w:szCs w:val="24"/>
        </w:rPr>
        <w:t>05</w:t>
      </w:r>
      <w:r w:rsidRPr="00EB1A01">
        <w:rPr>
          <w:rFonts w:cs="Arial"/>
          <w:bCs/>
          <w:szCs w:val="24"/>
        </w:rPr>
        <w:t>m</w:t>
      </w:r>
    </w:p>
    <w:p w14:paraId="034CAC00" w14:textId="77777777" w:rsidR="003C315C" w:rsidRPr="00C34991" w:rsidRDefault="003C315C" w:rsidP="003C315C">
      <w:pPr>
        <w:jc w:val="both"/>
        <w:rPr>
          <w:rFonts w:cs="Arial"/>
          <w:color w:val="FF0000"/>
          <w:szCs w:val="24"/>
        </w:rPr>
      </w:pPr>
    </w:p>
    <w:p w14:paraId="2F6F40C9" w14:textId="77777777" w:rsidR="003C315C" w:rsidRPr="00C34991" w:rsidRDefault="003C315C" w:rsidP="003C315C">
      <w:pPr>
        <w:pStyle w:val="ListParagraph"/>
        <w:numPr>
          <w:ilvl w:val="0"/>
          <w:numId w:val="25"/>
        </w:numPr>
        <w:jc w:val="both"/>
        <w:rPr>
          <w:rFonts w:cs="Arial"/>
          <w:szCs w:val="24"/>
        </w:rPr>
      </w:pPr>
      <w:r w:rsidRPr="00C34991">
        <w:rPr>
          <w:rFonts w:cs="Arial"/>
          <w:b/>
          <w:iCs/>
          <w:szCs w:val="24"/>
          <w:lang w:val="en-US"/>
        </w:rPr>
        <w:t>ICT</w:t>
      </w:r>
      <w:r w:rsidRPr="00C34991">
        <w:rPr>
          <w:rFonts w:cs="Arial"/>
          <w:szCs w:val="24"/>
          <w:lang w:val="en-US"/>
        </w:rPr>
        <w:t xml:space="preserve"> – net overspend £110k. Of this, £70k relates to the </w:t>
      </w:r>
      <w:proofErr w:type="spellStart"/>
      <w:r w:rsidRPr="00C34991">
        <w:rPr>
          <w:rFonts w:cs="Arial"/>
          <w:szCs w:val="24"/>
          <w:lang w:val="en-US"/>
        </w:rPr>
        <w:t>Modernisation</w:t>
      </w:r>
      <w:proofErr w:type="spellEnd"/>
      <w:r w:rsidRPr="00C34991">
        <w:rPr>
          <w:rFonts w:cs="Arial"/>
          <w:szCs w:val="24"/>
          <w:lang w:val="en-US"/>
        </w:rPr>
        <w:t xml:space="preserve"> program previously planned to be funded from capital flexibilities. The remaining £40k overspend relates to various items including increased costs of the cloud </w:t>
      </w:r>
      <w:proofErr w:type="spellStart"/>
      <w:r w:rsidRPr="00C34991">
        <w:rPr>
          <w:rFonts w:cs="Arial"/>
          <w:szCs w:val="24"/>
          <w:lang w:val="en-US"/>
        </w:rPr>
        <w:t>datacentre</w:t>
      </w:r>
      <w:proofErr w:type="spellEnd"/>
      <w:r w:rsidRPr="00C34991">
        <w:rPr>
          <w:rFonts w:cs="Arial"/>
          <w:szCs w:val="24"/>
          <w:lang w:val="en-US"/>
        </w:rPr>
        <w:t>.</w:t>
      </w:r>
    </w:p>
    <w:p w14:paraId="05353346" w14:textId="77777777" w:rsidR="00B07CC8" w:rsidRPr="00B07CC8" w:rsidRDefault="00B07CC8" w:rsidP="00B07CC8">
      <w:pPr>
        <w:pStyle w:val="ListParagraph"/>
        <w:ind w:left="1287"/>
        <w:jc w:val="both"/>
        <w:rPr>
          <w:rFonts w:cs="Arial"/>
          <w:szCs w:val="24"/>
        </w:rPr>
      </w:pPr>
    </w:p>
    <w:p w14:paraId="3E112289" w14:textId="340F579A" w:rsidR="003C315C" w:rsidRPr="00B07CC8" w:rsidRDefault="003C315C" w:rsidP="00B07CC8">
      <w:pPr>
        <w:pStyle w:val="ListParagraph"/>
        <w:numPr>
          <w:ilvl w:val="0"/>
          <w:numId w:val="25"/>
        </w:numPr>
        <w:jc w:val="both"/>
        <w:rPr>
          <w:rFonts w:cs="Arial"/>
          <w:szCs w:val="24"/>
        </w:rPr>
      </w:pPr>
      <w:r w:rsidRPr="00953A11">
        <w:rPr>
          <w:rFonts w:cs="Arial"/>
          <w:b/>
          <w:bCs/>
          <w:szCs w:val="24"/>
        </w:rPr>
        <w:t xml:space="preserve">Procurement </w:t>
      </w:r>
      <w:r w:rsidRPr="00953A11">
        <w:rPr>
          <w:rFonts w:cs="Arial"/>
          <w:szCs w:val="24"/>
        </w:rPr>
        <w:t>– net underspend £36k.  This is due to delayed recruitment.</w:t>
      </w:r>
    </w:p>
    <w:p w14:paraId="6E70121E" w14:textId="77777777" w:rsidR="007A2971" w:rsidRPr="00C34991" w:rsidRDefault="007A2971" w:rsidP="007A2971">
      <w:pPr>
        <w:pStyle w:val="ListParagraph"/>
        <w:ind w:left="1287"/>
        <w:jc w:val="both"/>
        <w:rPr>
          <w:rFonts w:cs="Arial"/>
          <w:szCs w:val="24"/>
        </w:rPr>
      </w:pPr>
    </w:p>
    <w:p w14:paraId="0F786A07" w14:textId="172ABA71" w:rsidR="00C34991" w:rsidRPr="00C34991" w:rsidRDefault="001B5082" w:rsidP="00C34991">
      <w:pPr>
        <w:pStyle w:val="ListParagraph"/>
        <w:numPr>
          <w:ilvl w:val="0"/>
          <w:numId w:val="25"/>
        </w:numPr>
        <w:jc w:val="both"/>
        <w:rPr>
          <w:rFonts w:cs="Arial"/>
          <w:color w:val="FF0000"/>
          <w:szCs w:val="24"/>
        </w:rPr>
      </w:pPr>
      <w:r w:rsidRPr="00C34991">
        <w:rPr>
          <w:rFonts w:cs="Arial"/>
          <w:b/>
          <w:szCs w:val="24"/>
          <w:lang w:val="en-US"/>
        </w:rPr>
        <w:t>Customer Services/Access Harro</w:t>
      </w:r>
      <w:r w:rsidR="00C34991" w:rsidRPr="00C34991">
        <w:rPr>
          <w:rFonts w:cs="Arial"/>
          <w:b/>
          <w:szCs w:val="24"/>
          <w:lang w:val="en-US"/>
        </w:rPr>
        <w:t xml:space="preserve">w </w:t>
      </w:r>
      <w:r w:rsidR="00C34991" w:rsidRPr="00C34991">
        <w:rPr>
          <w:rFonts w:cs="Arial"/>
          <w:bCs/>
          <w:szCs w:val="24"/>
          <w:lang w:val="en-US"/>
        </w:rPr>
        <w:t>- ne</w:t>
      </w:r>
      <w:r w:rsidR="004128EA" w:rsidRPr="00C34991">
        <w:rPr>
          <w:rFonts w:cs="Arial"/>
          <w:bCs/>
          <w:szCs w:val="24"/>
          <w:lang w:val="en-US"/>
        </w:rPr>
        <w:t>t</w:t>
      </w:r>
      <w:r w:rsidR="004128EA" w:rsidRPr="00C34991">
        <w:rPr>
          <w:rFonts w:cs="Arial"/>
          <w:szCs w:val="24"/>
          <w:lang w:val="en-US"/>
        </w:rPr>
        <w:t xml:space="preserve"> </w:t>
      </w:r>
      <w:r w:rsidR="00C34991" w:rsidRPr="00C34991">
        <w:rPr>
          <w:rFonts w:cs="Arial"/>
          <w:szCs w:val="24"/>
          <w:lang w:val="en-US"/>
        </w:rPr>
        <w:t>under</w:t>
      </w:r>
      <w:r w:rsidR="004128EA" w:rsidRPr="00C34991">
        <w:rPr>
          <w:rFonts w:cs="Arial"/>
          <w:szCs w:val="24"/>
          <w:lang w:val="en-US"/>
        </w:rPr>
        <w:t>spend</w:t>
      </w:r>
      <w:r w:rsidRPr="00C34991">
        <w:rPr>
          <w:rFonts w:cs="Arial"/>
          <w:szCs w:val="24"/>
          <w:lang w:val="en-US"/>
        </w:rPr>
        <w:t xml:space="preserve"> </w:t>
      </w:r>
      <w:r w:rsidR="00C34991" w:rsidRPr="00C34991">
        <w:rPr>
          <w:rFonts w:cs="Arial"/>
          <w:szCs w:val="24"/>
          <w:lang w:val="en-US"/>
        </w:rPr>
        <w:t>£61k</w:t>
      </w:r>
      <w:r w:rsidR="004128EA" w:rsidRPr="00C34991">
        <w:rPr>
          <w:rFonts w:cs="Arial"/>
          <w:szCs w:val="24"/>
          <w:lang w:val="en-US"/>
        </w:rPr>
        <w:t>.</w:t>
      </w:r>
      <w:r w:rsidRPr="00C34991">
        <w:rPr>
          <w:rFonts w:cs="Arial"/>
          <w:szCs w:val="24"/>
          <w:lang w:val="en-US"/>
        </w:rPr>
        <w:t xml:space="preserve"> </w:t>
      </w:r>
      <w:r w:rsidR="00C34991" w:rsidRPr="00C34991">
        <w:rPr>
          <w:rFonts w:cs="Arial"/>
          <w:szCs w:val="24"/>
          <w:lang w:val="en-US"/>
        </w:rPr>
        <w:t xml:space="preserve">This predominantly relates to difficulties in recruiting Revenues &amp; Benefits staff resulting in vacant positions being left unfilled for a longer period than expected. In previous months, the service has reported £350k unachieved savings within customer services area which are now covered from Covid-19 grant. The service was not able to </w:t>
      </w:r>
      <w:proofErr w:type="spellStart"/>
      <w:r w:rsidR="00C34991" w:rsidRPr="00C34991">
        <w:rPr>
          <w:rFonts w:cs="Arial"/>
          <w:szCs w:val="24"/>
          <w:lang w:val="en-US"/>
        </w:rPr>
        <w:t>realise</w:t>
      </w:r>
      <w:proofErr w:type="spellEnd"/>
      <w:r w:rsidR="00C34991" w:rsidRPr="00C34991">
        <w:rPr>
          <w:rFonts w:cs="Arial"/>
          <w:szCs w:val="24"/>
          <w:lang w:val="en-US"/>
        </w:rPr>
        <w:t xml:space="preserve"> the savings of </w:t>
      </w:r>
      <w:r w:rsidR="00C34991" w:rsidRPr="00C34991">
        <w:rPr>
          <w:rFonts w:cs="Arial"/>
          <w:szCs w:val="24"/>
        </w:rPr>
        <w:t>£350k through staff</w:t>
      </w:r>
      <w:r w:rsidR="00C34991" w:rsidRPr="00C34991">
        <w:rPr>
          <w:rFonts w:cs="Arial"/>
          <w:i/>
          <w:iCs/>
          <w:szCs w:val="24"/>
        </w:rPr>
        <w:t xml:space="preserve"> </w:t>
      </w:r>
      <w:r w:rsidR="00C34991" w:rsidRPr="00C34991">
        <w:rPr>
          <w:rFonts w:cs="Arial"/>
          <w:szCs w:val="24"/>
        </w:rPr>
        <w:t>reduction</w:t>
      </w:r>
      <w:r w:rsidR="00C34991" w:rsidRPr="00C34991">
        <w:rPr>
          <w:rFonts w:cs="Arial"/>
          <w:szCs w:val="24"/>
          <w:lang w:val="en-US"/>
        </w:rPr>
        <w:t xml:space="preserve">. </w:t>
      </w:r>
      <w:r w:rsidR="00C34991" w:rsidRPr="00C34991">
        <w:rPr>
          <w:rFonts w:cs="Arial"/>
          <w:szCs w:val="24"/>
        </w:rPr>
        <w:t>The closure of telephone lines was due to take place from 1 October 2020 with the budget reduction being equally split between 2020</w:t>
      </w:r>
      <w:r w:rsidR="00C34991">
        <w:rPr>
          <w:rFonts w:cs="Arial"/>
          <w:szCs w:val="24"/>
        </w:rPr>
        <w:t>-</w:t>
      </w:r>
      <w:r w:rsidR="00C34991" w:rsidRPr="00C34991">
        <w:rPr>
          <w:rFonts w:cs="Arial"/>
          <w:szCs w:val="24"/>
        </w:rPr>
        <w:t>21 and 2021</w:t>
      </w:r>
      <w:r w:rsidR="00C34991">
        <w:rPr>
          <w:rFonts w:cs="Arial"/>
          <w:szCs w:val="24"/>
        </w:rPr>
        <w:t>-</w:t>
      </w:r>
      <w:r w:rsidR="00C34991" w:rsidRPr="00C34991">
        <w:rPr>
          <w:rFonts w:cs="Arial"/>
          <w:szCs w:val="24"/>
        </w:rPr>
        <w:t xml:space="preserve">22; however, Covid prevented the start of the programme of work required to channel shift Revenues &amp; Benefits to digital channels.  The delays are due to the team working on supporting CEV residents, the </w:t>
      </w:r>
      <w:r w:rsidR="00C34991" w:rsidRPr="00C34991">
        <w:rPr>
          <w:rFonts w:cs="Arial"/>
          <w:szCs w:val="24"/>
        </w:rPr>
        <w:lastRenderedPageBreak/>
        <w:t>Community Hub, Track &amp; Trace, Testing, the Revenues service, and Virtual meetings as well as a lack of capacity within the service to support discovery and testing. Further decisions will be made in relation to the future of this project.</w:t>
      </w:r>
    </w:p>
    <w:p w14:paraId="59BCF999" w14:textId="77777777" w:rsidR="007A2971" w:rsidRPr="00B37833" w:rsidRDefault="007A2971" w:rsidP="007A2971">
      <w:pPr>
        <w:pStyle w:val="ListParagraph"/>
        <w:ind w:left="1287"/>
        <w:jc w:val="both"/>
        <w:rPr>
          <w:rFonts w:cs="Arial"/>
          <w:color w:val="FF0000"/>
          <w:szCs w:val="24"/>
        </w:rPr>
      </w:pPr>
      <w:bookmarkStart w:id="4" w:name="_Hlk54351227"/>
    </w:p>
    <w:p w14:paraId="3C9A8EE6" w14:textId="3BA14B9D" w:rsidR="007A2971" w:rsidRPr="00953A11" w:rsidRDefault="001B5082" w:rsidP="007A4D31">
      <w:pPr>
        <w:pStyle w:val="ListParagraph"/>
        <w:numPr>
          <w:ilvl w:val="0"/>
          <w:numId w:val="25"/>
        </w:numPr>
        <w:jc w:val="both"/>
        <w:rPr>
          <w:rFonts w:cs="Arial"/>
          <w:szCs w:val="24"/>
        </w:rPr>
      </w:pPr>
      <w:r w:rsidRPr="00953A11">
        <w:rPr>
          <w:rFonts w:cs="Arial"/>
          <w:b/>
          <w:bCs/>
          <w:szCs w:val="24"/>
        </w:rPr>
        <w:t>HR</w:t>
      </w:r>
      <w:r w:rsidR="00C34991" w:rsidRPr="00953A11">
        <w:rPr>
          <w:rFonts w:cs="Arial"/>
          <w:b/>
          <w:bCs/>
          <w:szCs w:val="24"/>
        </w:rPr>
        <w:t xml:space="preserve"> </w:t>
      </w:r>
      <w:r w:rsidR="00C34991" w:rsidRPr="00953A11">
        <w:rPr>
          <w:rFonts w:cs="Arial"/>
          <w:szCs w:val="24"/>
        </w:rPr>
        <w:t xml:space="preserve">– </w:t>
      </w:r>
      <w:r w:rsidR="004128EA" w:rsidRPr="00953A11">
        <w:rPr>
          <w:rFonts w:cs="Arial"/>
          <w:szCs w:val="24"/>
        </w:rPr>
        <w:t>net overspend £</w:t>
      </w:r>
      <w:r w:rsidR="00C34991" w:rsidRPr="00953A11">
        <w:rPr>
          <w:rFonts w:cs="Arial"/>
          <w:szCs w:val="24"/>
        </w:rPr>
        <w:t>702</w:t>
      </w:r>
      <w:r w:rsidRPr="00953A11">
        <w:rPr>
          <w:rFonts w:cs="Arial"/>
          <w:szCs w:val="24"/>
        </w:rPr>
        <w:t>k</w:t>
      </w:r>
      <w:r w:rsidR="00C34991" w:rsidRPr="00953A11">
        <w:rPr>
          <w:rFonts w:cs="Arial"/>
          <w:szCs w:val="24"/>
        </w:rPr>
        <w:t xml:space="preserve">. </w:t>
      </w:r>
      <w:r w:rsidRPr="00953A11">
        <w:rPr>
          <w:rFonts w:cs="Arial"/>
          <w:szCs w:val="24"/>
        </w:rPr>
        <w:t xml:space="preserve"> </w:t>
      </w:r>
      <w:bookmarkEnd w:id="4"/>
      <w:r w:rsidR="00C34991" w:rsidRPr="00953A11">
        <w:rPr>
          <w:rFonts w:cs="Arial"/>
          <w:szCs w:val="24"/>
        </w:rPr>
        <w:t xml:space="preserve">This is made up of net overspend £716k related to the Modernisation programme previously planned </w:t>
      </w:r>
      <w:r w:rsidR="00953A11" w:rsidRPr="00953A11">
        <w:rPr>
          <w:rFonts w:cs="Arial"/>
          <w:szCs w:val="24"/>
        </w:rPr>
        <w:t xml:space="preserve">to be funded from capital flexibilities. There was a net </w:t>
      </w:r>
      <w:r w:rsidR="00452CAC" w:rsidRPr="00953A11">
        <w:rPr>
          <w:rFonts w:cs="Arial"/>
          <w:szCs w:val="24"/>
        </w:rPr>
        <w:t>overspend</w:t>
      </w:r>
      <w:r w:rsidR="00953A11" w:rsidRPr="00953A11">
        <w:rPr>
          <w:rFonts w:cs="Arial"/>
          <w:szCs w:val="24"/>
        </w:rPr>
        <w:t xml:space="preserve"> of £67k in relation to increasing Employee Relations capacity and moving schools out of the LA’s payroll, offset by £81k overachievement of rebate income from Pertemps.</w:t>
      </w:r>
    </w:p>
    <w:p w14:paraId="065972BB" w14:textId="77777777" w:rsidR="007A2971" w:rsidRPr="00953A11" w:rsidRDefault="007A2971" w:rsidP="007A2971">
      <w:pPr>
        <w:pStyle w:val="ListParagraph"/>
        <w:ind w:left="1287"/>
        <w:jc w:val="both"/>
        <w:rPr>
          <w:rFonts w:cs="Arial"/>
          <w:szCs w:val="24"/>
        </w:rPr>
      </w:pPr>
    </w:p>
    <w:p w14:paraId="75AC3243" w14:textId="5C090F0F" w:rsidR="007A2971" w:rsidRPr="00953A11" w:rsidRDefault="001B5082" w:rsidP="007A4D31">
      <w:pPr>
        <w:pStyle w:val="ListParagraph"/>
        <w:numPr>
          <w:ilvl w:val="0"/>
          <w:numId w:val="25"/>
        </w:numPr>
        <w:jc w:val="both"/>
        <w:rPr>
          <w:rFonts w:cs="Arial"/>
          <w:szCs w:val="24"/>
        </w:rPr>
      </w:pPr>
      <w:r w:rsidRPr="00953A11">
        <w:rPr>
          <w:rFonts w:cs="Arial"/>
          <w:b/>
          <w:szCs w:val="24"/>
          <w:lang w:val="en-US"/>
        </w:rPr>
        <w:t>Legal &amp; Governance</w:t>
      </w:r>
      <w:r w:rsidR="00953A11" w:rsidRPr="00953A11">
        <w:rPr>
          <w:rFonts w:cs="Arial"/>
          <w:szCs w:val="24"/>
          <w:lang w:val="en-US"/>
        </w:rPr>
        <w:t xml:space="preserve"> – </w:t>
      </w:r>
      <w:r w:rsidRPr="00953A11">
        <w:rPr>
          <w:rFonts w:cs="Arial"/>
          <w:szCs w:val="24"/>
          <w:lang w:val="en-US"/>
        </w:rPr>
        <w:t>net</w:t>
      </w:r>
      <w:r w:rsidR="007A2971" w:rsidRPr="00953A11">
        <w:rPr>
          <w:rFonts w:cs="Arial"/>
          <w:szCs w:val="24"/>
          <w:lang w:val="en-US"/>
        </w:rPr>
        <w:t xml:space="preserve"> underspend</w:t>
      </w:r>
      <w:r w:rsidRPr="00953A11">
        <w:rPr>
          <w:rFonts w:cs="Arial"/>
          <w:szCs w:val="24"/>
          <w:lang w:val="en-US"/>
        </w:rPr>
        <w:t xml:space="preserve"> </w:t>
      </w:r>
      <w:r w:rsidR="00953A11" w:rsidRPr="00953A11">
        <w:rPr>
          <w:rFonts w:cs="Arial"/>
          <w:szCs w:val="24"/>
          <w:lang w:val="en-US"/>
        </w:rPr>
        <w:t>£84k.</w:t>
      </w:r>
      <w:r w:rsidRPr="00953A11">
        <w:rPr>
          <w:rFonts w:cs="Arial"/>
          <w:szCs w:val="24"/>
          <w:lang w:val="en-US"/>
        </w:rPr>
        <w:t xml:space="preserve"> </w:t>
      </w:r>
      <w:bookmarkStart w:id="5" w:name="_Hlk52890347"/>
      <w:r w:rsidR="00953A11" w:rsidRPr="00953A11">
        <w:rPr>
          <w:rFonts w:cs="Arial"/>
          <w:szCs w:val="24"/>
          <w:lang w:val="en-US"/>
        </w:rPr>
        <w:t>This mainly relates to Registration Services; Land Charges and Registration of Births, Deaths and Marriages where the income exceeded the target.</w:t>
      </w:r>
    </w:p>
    <w:p w14:paraId="575EE82B" w14:textId="77777777" w:rsidR="003C315C" w:rsidRPr="00953A11" w:rsidRDefault="003C315C" w:rsidP="003C315C">
      <w:pPr>
        <w:pStyle w:val="ListParagraph"/>
        <w:ind w:left="1287"/>
        <w:jc w:val="both"/>
        <w:rPr>
          <w:rFonts w:cs="Arial"/>
          <w:szCs w:val="24"/>
        </w:rPr>
      </w:pPr>
    </w:p>
    <w:p w14:paraId="6EFDA391" w14:textId="77777777" w:rsidR="003C315C" w:rsidRPr="00953A11" w:rsidRDefault="003C315C" w:rsidP="003C315C">
      <w:pPr>
        <w:pStyle w:val="ListParagraph"/>
        <w:numPr>
          <w:ilvl w:val="0"/>
          <w:numId w:val="25"/>
        </w:numPr>
        <w:jc w:val="both"/>
        <w:rPr>
          <w:rFonts w:cs="Arial"/>
          <w:szCs w:val="24"/>
        </w:rPr>
      </w:pPr>
      <w:r w:rsidRPr="00953A11">
        <w:rPr>
          <w:rFonts w:cs="Arial"/>
          <w:b/>
          <w:bCs/>
          <w:szCs w:val="24"/>
          <w:lang w:val="en-US"/>
        </w:rPr>
        <w:t xml:space="preserve">Internal Audit and CAFT – </w:t>
      </w:r>
      <w:r w:rsidRPr="00953A11">
        <w:rPr>
          <w:rFonts w:cs="Arial"/>
          <w:szCs w:val="24"/>
          <w:lang w:val="en-US"/>
        </w:rPr>
        <w:t>net underspend £105k. This is due to delayed recruitment.</w:t>
      </w:r>
    </w:p>
    <w:p w14:paraId="16BCB096" w14:textId="77777777" w:rsidR="007A2971" w:rsidRPr="00C34991" w:rsidRDefault="007A2971" w:rsidP="007A2971">
      <w:pPr>
        <w:pStyle w:val="ListParagraph"/>
        <w:ind w:left="1287"/>
        <w:jc w:val="both"/>
        <w:rPr>
          <w:rFonts w:cs="Arial"/>
          <w:szCs w:val="24"/>
        </w:rPr>
      </w:pPr>
    </w:p>
    <w:bookmarkEnd w:id="5"/>
    <w:p w14:paraId="0D4F2CAB" w14:textId="77777777" w:rsidR="007C38F9" w:rsidRPr="00B37833" w:rsidRDefault="007C38F9" w:rsidP="007C38F9">
      <w:pPr>
        <w:pStyle w:val="ListParagraph"/>
        <w:ind w:left="567"/>
        <w:jc w:val="both"/>
        <w:rPr>
          <w:color w:val="FF0000"/>
          <w:szCs w:val="24"/>
        </w:rPr>
      </w:pPr>
    </w:p>
    <w:bookmarkEnd w:id="0"/>
    <w:bookmarkEnd w:id="1"/>
    <w:bookmarkEnd w:id="2"/>
    <w:p w14:paraId="35A20D93" w14:textId="3ABE9DC5" w:rsidR="00690337" w:rsidRPr="00F5674D" w:rsidRDefault="0056292F" w:rsidP="00690337">
      <w:pPr>
        <w:ind w:left="567"/>
        <w:rPr>
          <w:rFonts w:cs="Arial"/>
          <w:b/>
          <w:szCs w:val="24"/>
          <w:u w:val="single"/>
        </w:rPr>
      </w:pPr>
      <w:r>
        <w:rPr>
          <w:rFonts w:cs="Arial"/>
          <w:b/>
          <w:szCs w:val="24"/>
          <w:u w:val="single"/>
        </w:rPr>
        <w:t>PLACE</w:t>
      </w:r>
    </w:p>
    <w:p w14:paraId="24FE4088" w14:textId="10FD5312" w:rsidR="009A7E9D" w:rsidRPr="00F5674D" w:rsidRDefault="009A7E9D" w:rsidP="009A7E9D">
      <w:pPr>
        <w:pStyle w:val="ListParagraph"/>
        <w:ind w:left="567"/>
        <w:jc w:val="both"/>
        <w:rPr>
          <w:rFonts w:cs="Arial"/>
          <w:szCs w:val="24"/>
        </w:rPr>
      </w:pPr>
    </w:p>
    <w:p w14:paraId="7459A260" w14:textId="07A4A37E" w:rsidR="00157B60" w:rsidRPr="00F5674D" w:rsidRDefault="00AF347B" w:rsidP="003C750A">
      <w:pPr>
        <w:pStyle w:val="ListParagraph"/>
        <w:numPr>
          <w:ilvl w:val="0"/>
          <w:numId w:val="5"/>
        </w:numPr>
        <w:ind w:left="567" w:hanging="567"/>
        <w:jc w:val="both"/>
        <w:rPr>
          <w:rFonts w:cs="Arial"/>
          <w:bCs/>
        </w:rPr>
      </w:pPr>
      <w:r w:rsidRPr="00F5674D">
        <w:rPr>
          <w:rFonts w:cs="Arial"/>
          <w:bCs/>
        </w:rPr>
        <w:t xml:space="preserve">The revenue outturn position for the </w:t>
      </w:r>
      <w:r w:rsidR="0056292F">
        <w:rPr>
          <w:rFonts w:cs="Arial"/>
          <w:bCs/>
        </w:rPr>
        <w:t>Place</w:t>
      </w:r>
      <w:r w:rsidRPr="00F5674D">
        <w:rPr>
          <w:rFonts w:cs="Arial"/>
          <w:bCs/>
        </w:rPr>
        <w:t xml:space="preserve"> directorate is an overspend of £</w:t>
      </w:r>
      <w:r w:rsidR="00AA528F" w:rsidRPr="00F5674D">
        <w:rPr>
          <w:rFonts w:cs="Arial"/>
          <w:bCs/>
        </w:rPr>
        <w:t>1.354m</w:t>
      </w:r>
      <w:r w:rsidRPr="00F5674D">
        <w:rPr>
          <w:rFonts w:cs="Arial"/>
          <w:bCs/>
        </w:rPr>
        <w:t>, after taking into consideration £1.</w:t>
      </w:r>
      <w:r w:rsidR="0005698E" w:rsidRPr="00F5674D">
        <w:rPr>
          <w:rFonts w:cs="Arial"/>
          <w:bCs/>
        </w:rPr>
        <w:t>098</w:t>
      </w:r>
      <w:r w:rsidRPr="00F5674D">
        <w:rPr>
          <w:rFonts w:cs="Arial"/>
          <w:bCs/>
        </w:rPr>
        <w:t xml:space="preserve">m </w:t>
      </w:r>
      <w:r w:rsidR="0005698E" w:rsidRPr="00F5674D">
        <w:rPr>
          <w:rFonts w:cs="Arial"/>
          <w:bCs/>
        </w:rPr>
        <w:t xml:space="preserve">of </w:t>
      </w:r>
      <w:r w:rsidRPr="00F5674D">
        <w:rPr>
          <w:rFonts w:cs="Arial"/>
          <w:bCs/>
        </w:rPr>
        <w:t>carry forward requests.</w:t>
      </w:r>
      <w:r w:rsidR="005B3414" w:rsidRPr="00F5674D">
        <w:rPr>
          <w:rFonts w:cs="Arial"/>
          <w:szCs w:val="24"/>
        </w:rPr>
        <w:t xml:space="preserve"> </w:t>
      </w:r>
    </w:p>
    <w:p w14:paraId="489CAA50" w14:textId="77777777" w:rsidR="0005698E" w:rsidRPr="0005698E" w:rsidRDefault="0005698E" w:rsidP="0005698E">
      <w:pPr>
        <w:pStyle w:val="ListParagraph"/>
        <w:ind w:left="567"/>
        <w:jc w:val="both"/>
        <w:rPr>
          <w:rFonts w:cs="Arial"/>
          <w:bCs/>
          <w:color w:val="FF0000"/>
        </w:rPr>
      </w:pPr>
    </w:p>
    <w:p w14:paraId="175B0801" w14:textId="6B60D2A1" w:rsidR="00157B60" w:rsidRPr="0056292F" w:rsidRDefault="001025AD" w:rsidP="00157B60">
      <w:pPr>
        <w:jc w:val="both"/>
        <w:rPr>
          <w:rFonts w:cs="Arial"/>
          <w:b/>
          <w:u w:val="single"/>
        </w:rPr>
      </w:pPr>
      <w:r w:rsidRPr="0056292F">
        <w:rPr>
          <w:rFonts w:cs="Arial"/>
          <w:b/>
          <w:u w:val="single"/>
        </w:rPr>
        <w:t xml:space="preserve">Table </w:t>
      </w:r>
      <w:r w:rsidR="00A44B40">
        <w:rPr>
          <w:rFonts w:cs="Arial"/>
          <w:b/>
          <w:u w:val="single"/>
        </w:rPr>
        <w:t>3</w:t>
      </w:r>
      <w:r w:rsidRPr="0056292F">
        <w:rPr>
          <w:rFonts w:cs="Arial"/>
          <w:b/>
          <w:u w:val="single"/>
        </w:rPr>
        <w:t xml:space="preserve">: </w:t>
      </w:r>
      <w:r w:rsidR="0056292F" w:rsidRPr="0056292F">
        <w:rPr>
          <w:rFonts w:cs="Arial"/>
          <w:b/>
          <w:u w:val="single"/>
        </w:rPr>
        <w:t>Place</w:t>
      </w:r>
      <w:r w:rsidRPr="0056292F">
        <w:rPr>
          <w:rFonts w:cs="Arial"/>
          <w:b/>
          <w:u w:val="single"/>
        </w:rPr>
        <w:t xml:space="preserve"> Revenue Outturn </w:t>
      </w:r>
      <w:r w:rsidR="0056292F" w:rsidRPr="0056292F">
        <w:rPr>
          <w:rFonts w:cs="Arial"/>
          <w:b/>
          <w:u w:val="single"/>
        </w:rPr>
        <w:t>2021-22</w:t>
      </w:r>
    </w:p>
    <w:p w14:paraId="0DBBF833" w14:textId="63514F94" w:rsidR="00F678AF" w:rsidRPr="00B37833" w:rsidRDefault="00F678AF" w:rsidP="00F678AF">
      <w:pPr>
        <w:pStyle w:val="ListParagraph"/>
        <w:ind w:left="567"/>
        <w:jc w:val="both"/>
        <w:rPr>
          <w:rFonts w:cs="Arial"/>
          <w:bCs/>
          <w:color w:val="FF0000"/>
        </w:rPr>
      </w:pPr>
    </w:p>
    <w:tbl>
      <w:tblPr>
        <w:tblStyle w:val="TableGrid"/>
        <w:tblW w:w="10206" w:type="dxa"/>
        <w:tblInd w:w="-5" w:type="dxa"/>
        <w:tblLook w:val="04A0" w:firstRow="1" w:lastRow="0" w:firstColumn="1" w:lastColumn="0" w:noHBand="0" w:noVBand="1"/>
      </w:tblPr>
      <w:tblGrid>
        <w:gridCol w:w="2708"/>
        <w:gridCol w:w="905"/>
        <w:gridCol w:w="950"/>
        <w:gridCol w:w="1106"/>
        <w:gridCol w:w="1143"/>
        <w:gridCol w:w="1128"/>
        <w:gridCol w:w="1077"/>
        <w:gridCol w:w="1189"/>
      </w:tblGrid>
      <w:tr w:rsidR="0056292F" w:rsidRPr="00B07CC8" w14:paraId="0D6E0E8A" w14:textId="77777777" w:rsidTr="00B07CC8">
        <w:tc>
          <w:tcPr>
            <w:tcW w:w="2708" w:type="dxa"/>
          </w:tcPr>
          <w:p w14:paraId="191426A8" w14:textId="1739815D" w:rsidR="00157B60" w:rsidRPr="00B07CC8" w:rsidRDefault="00157B60" w:rsidP="00F678AF">
            <w:pPr>
              <w:pStyle w:val="ListParagraph"/>
              <w:ind w:left="0"/>
              <w:jc w:val="both"/>
              <w:rPr>
                <w:rFonts w:cs="Arial"/>
                <w:b/>
                <w:sz w:val="20"/>
              </w:rPr>
            </w:pPr>
            <w:r w:rsidRPr="00B07CC8">
              <w:rPr>
                <w:rFonts w:cs="Arial"/>
                <w:b/>
                <w:sz w:val="20"/>
              </w:rPr>
              <w:t>Division</w:t>
            </w:r>
          </w:p>
        </w:tc>
        <w:tc>
          <w:tcPr>
            <w:tcW w:w="905" w:type="dxa"/>
          </w:tcPr>
          <w:p w14:paraId="351BBDA5" w14:textId="136A4F6F" w:rsidR="00157B60" w:rsidRPr="00B07CC8" w:rsidRDefault="00157B60" w:rsidP="00157B60">
            <w:pPr>
              <w:pStyle w:val="ListParagraph"/>
              <w:ind w:left="0"/>
              <w:jc w:val="center"/>
              <w:rPr>
                <w:rFonts w:cs="Arial"/>
                <w:b/>
                <w:sz w:val="20"/>
              </w:rPr>
            </w:pPr>
            <w:r w:rsidRPr="00B07CC8">
              <w:rPr>
                <w:rFonts w:cs="Arial"/>
                <w:b/>
                <w:sz w:val="20"/>
              </w:rPr>
              <w:t>Budget</w:t>
            </w:r>
          </w:p>
        </w:tc>
        <w:tc>
          <w:tcPr>
            <w:tcW w:w="950" w:type="dxa"/>
          </w:tcPr>
          <w:p w14:paraId="044728C7" w14:textId="45A79597" w:rsidR="00157B60" w:rsidRPr="00B07CC8" w:rsidRDefault="00157B60" w:rsidP="00157B60">
            <w:pPr>
              <w:pStyle w:val="ListParagraph"/>
              <w:ind w:left="0"/>
              <w:jc w:val="center"/>
              <w:rPr>
                <w:rFonts w:cs="Arial"/>
                <w:b/>
                <w:sz w:val="20"/>
              </w:rPr>
            </w:pPr>
            <w:r w:rsidRPr="00B07CC8">
              <w:rPr>
                <w:rFonts w:cs="Arial"/>
                <w:b/>
                <w:sz w:val="20"/>
              </w:rPr>
              <w:t>Outturn</w:t>
            </w:r>
          </w:p>
        </w:tc>
        <w:tc>
          <w:tcPr>
            <w:tcW w:w="1106" w:type="dxa"/>
          </w:tcPr>
          <w:p w14:paraId="38F418DC" w14:textId="2E070F1B" w:rsidR="00157B60" w:rsidRPr="00B07CC8" w:rsidRDefault="00157B60" w:rsidP="00157B60">
            <w:pPr>
              <w:pStyle w:val="ListParagraph"/>
              <w:ind w:left="0"/>
              <w:jc w:val="center"/>
              <w:rPr>
                <w:rFonts w:cs="Arial"/>
                <w:b/>
                <w:sz w:val="20"/>
              </w:rPr>
            </w:pPr>
            <w:r w:rsidRPr="00B07CC8">
              <w:rPr>
                <w:rFonts w:cs="Arial"/>
                <w:b/>
                <w:sz w:val="20"/>
              </w:rPr>
              <w:t>To/ (From) Reserves</w:t>
            </w:r>
          </w:p>
        </w:tc>
        <w:tc>
          <w:tcPr>
            <w:tcW w:w="1143" w:type="dxa"/>
          </w:tcPr>
          <w:p w14:paraId="076A7D1A" w14:textId="2FABB297" w:rsidR="00157B60" w:rsidRPr="00B07CC8" w:rsidRDefault="00157B60" w:rsidP="00157B60">
            <w:pPr>
              <w:pStyle w:val="ListParagraph"/>
              <w:ind w:left="0"/>
              <w:jc w:val="center"/>
              <w:rPr>
                <w:rFonts w:cs="Arial"/>
                <w:b/>
                <w:sz w:val="20"/>
              </w:rPr>
            </w:pPr>
            <w:r w:rsidRPr="00B07CC8">
              <w:rPr>
                <w:rFonts w:cs="Arial"/>
                <w:b/>
                <w:sz w:val="20"/>
              </w:rPr>
              <w:t xml:space="preserve">Cross divisional </w:t>
            </w:r>
            <w:proofErr w:type="spellStart"/>
            <w:r w:rsidRPr="00B07CC8">
              <w:rPr>
                <w:rFonts w:cs="Arial"/>
                <w:b/>
                <w:sz w:val="20"/>
              </w:rPr>
              <w:t>adjmt</w:t>
            </w:r>
            <w:proofErr w:type="spellEnd"/>
          </w:p>
        </w:tc>
        <w:tc>
          <w:tcPr>
            <w:tcW w:w="1128" w:type="dxa"/>
          </w:tcPr>
          <w:p w14:paraId="1B4E055F" w14:textId="43179998" w:rsidR="00157B60" w:rsidRPr="00B07CC8" w:rsidRDefault="00157B60" w:rsidP="00157B60">
            <w:pPr>
              <w:pStyle w:val="ListParagraph"/>
              <w:ind w:left="0"/>
              <w:jc w:val="center"/>
              <w:rPr>
                <w:rFonts w:cs="Arial"/>
                <w:b/>
                <w:sz w:val="20"/>
              </w:rPr>
            </w:pPr>
            <w:r w:rsidRPr="00B07CC8">
              <w:rPr>
                <w:rFonts w:cs="Arial"/>
                <w:b/>
                <w:sz w:val="20"/>
              </w:rPr>
              <w:t>Carry Forwards</w:t>
            </w:r>
          </w:p>
        </w:tc>
        <w:tc>
          <w:tcPr>
            <w:tcW w:w="1077" w:type="dxa"/>
          </w:tcPr>
          <w:p w14:paraId="1B30C676" w14:textId="2A51D001" w:rsidR="00157B60" w:rsidRPr="00B07CC8" w:rsidRDefault="00157B60" w:rsidP="00157B60">
            <w:pPr>
              <w:pStyle w:val="ListParagraph"/>
              <w:ind w:left="0"/>
              <w:jc w:val="center"/>
              <w:rPr>
                <w:rFonts w:cs="Arial"/>
                <w:b/>
                <w:sz w:val="20"/>
              </w:rPr>
            </w:pPr>
            <w:r w:rsidRPr="00B07CC8">
              <w:rPr>
                <w:rFonts w:cs="Arial"/>
                <w:b/>
                <w:sz w:val="20"/>
              </w:rPr>
              <w:t>Revised Outturn</w:t>
            </w:r>
          </w:p>
        </w:tc>
        <w:tc>
          <w:tcPr>
            <w:tcW w:w="1189" w:type="dxa"/>
          </w:tcPr>
          <w:p w14:paraId="393A5224" w14:textId="74C508FD" w:rsidR="00157B60" w:rsidRPr="00B07CC8" w:rsidRDefault="00157B60" w:rsidP="00157B60">
            <w:pPr>
              <w:pStyle w:val="ListParagraph"/>
              <w:ind w:left="0"/>
              <w:jc w:val="center"/>
              <w:rPr>
                <w:rFonts w:cs="Arial"/>
                <w:b/>
                <w:sz w:val="20"/>
              </w:rPr>
            </w:pPr>
            <w:r w:rsidRPr="00B07CC8">
              <w:rPr>
                <w:rFonts w:cs="Arial"/>
                <w:b/>
                <w:sz w:val="20"/>
              </w:rPr>
              <w:t>Variance to budget</w:t>
            </w:r>
          </w:p>
        </w:tc>
      </w:tr>
      <w:tr w:rsidR="0056292F" w:rsidRPr="00B07CC8" w14:paraId="78E21F39" w14:textId="77777777" w:rsidTr="00B07CC8">
        <w:tc>
          <w:tcPr>
            <w:tcW w:w="2708" w:type="dxa"/>
          </w:tcPr>
          <w:p w14:paraId="52308758" w14:textId="77777777" w:rsidR="00157B60" w:rsidRPr="00B07CC8" w:rsidRDefault="00157B60" w:rsidP="00157B60">
            <w:pPr>
              <w:pStyle w:val="ListParagraph"/>
              <w:ind w:left="0"/>
              <w:jc w:val="both"/>
              <w:rPr>
                <w:rFonts w:cs="Arial"/>
                <w:b/>
                <w:sz w:val="20"/>
              </w:rPr>
            </w:pPr>
          </w:p>
        </w:tc>
        <w:tc>
          <w:tcPr>
            <w:tcW w:w="905" w:type="dxa"/>
          </w:tcPr>
          <w:p w14:paraId="2AC51230" w14:textId="18AD6D94" w:rsidR="00157B60" w:rsidRPr="00B07CC8" w:rsidRDefault="00157B60" w:rsidP="00157B60">
            <w:pPr>
              <w:pStyle w:val="ListParagraph"/>
              <w:ind w:left="0"/>
              <w:jc w:val="center"/>
              <w:rPr>
                <w:rFonts w:cs="Arial"/>
                <w:b/>
                <w:sz w:val="20"/>
              </w:rPr>
            </w:pPr>
            <w:r w:rsidRPr="00B07CC8">
              <w:rPr>
                <w:rFonts w:cs="Arial"/>
                <w:b/>
                <w:sz w:val="20"/>
              </w:rPr>
              <w:t>£000</w:t>
            </w:r>
          </w:p>
        </w:tc>
        <w:tc>
          <w:tcPr>
            <w:tcW w:w="950" w:type="dxa"/>
          </w:tcPr>
          <w:p w14:paraId="65577F65" w14:textId="5BDB9FBB" w:rsidR="00157B60" w:rsidRPr="00B07CC8" w:rsidRDefault="00157B60" w:rsidP="00157B60">
            <w:pPr>
              <w:pStyle w:val="ListParagraph"/>
              <w:ind w:left="0"/>
              <w:jc w:val="center"/>
              <w:rPr>
                <w:rFonts w:cs="Arial"/>
                <w:b/>
                <w:sz w:val="20"/>
              </w:rPr>
            </w:pPr>
            <w:r w:rsidRPr="00B07CC8">
              <w:rPr>
                <w:rFonts w:cs="Arial"/>
                <w:b/>
                <w:sz w:val="20"/>
              </w:rPr>
              <w:t>£000</w:t>
            </w:r>
          </w:p>
        </w:tc>
        <w:tc>
          <w:tcPr>
            <w:tcW w:w="1106" w:type="dxa"/>
          </w:tcPr>
          <w:p w14:paraId="68BF3C3A" w14:textId="138BABB1" w:rsidR="00157B60" w:rsidRPr="00B07CC8" w:rsidRDefault="00157B60" w:rsidP="00157B60">
            <w:pPr>
              <w:pStyle w:val="ListParagraph"/>
              <w:ind w:left="0"/>
              <w:jc w:val="center"/>
              <w:rPr>
                <w:rFonts w:cs="Arial"/>
                <w:b/>
                <w:sz w:val="20"/>
              </w:rPr>
            </w:pPr>
            <w:r w:rsidRPr="00B07CC8">
              <w:rPr>
                <w:rFonts w:cs="Arial"/>
                <w:b/>
                <w:sz w:val="20"/>
              </w:rPr>
              <w:t>£000</w:t>
            </w:r>
          </w:p>
        </w:tc>
        <w:tc>
          <w:tcPr>
            <w:tcW w:w="1143" w:type="dxa"/>
          </w:tcPr>
          <w:p w14:paraId="0B76648D" w14:textId="70466836" w:rsidR="00157B60" w:rsidRPr="00B07CC8" w:rsidRDefault="00157B60" w:rsidP="00157B60">
            <w:pPr>
              <w:pStyle w:val="ListParagraph"/>
              <w:ind w:left="0"/>
              <w:jc w:val="center"/>
              <w:rPr>
                <w:rFonts w:cs="Arial"/>
                <w:b/>
                <w:sz w:val="20"/>
              </w:rPr>
            </w:pPr>
            <w:r w:rsidRPr="00B07CC8">
              <w:rPr>
                <w:rFonts w:cs="Arial"/>
                <w:b/>
                <w:sz w:val="20"/>
              </w:rPr>
              <w:t>£000</w:t>
            </w:r>
          </w:p>
        </w:tc>
        <w:tc>
          <w:tcPr>
            <w:tcW w:w="1128" w:type="dxa"/>
          </w:tcPr>
          <w:p w14:paraId="57FC22C7" w14:textId="5818C153" w:rsidR="00157B60" w:rsidRPr="00B07CC8" w:rsidRDefault="00157B60" w:rsidP="00157B60">
            <w:pPr>
              <w:pStyle w:val="ListParagraph"/>
              <w:ind w:left="0"/>
              <w:jc w:val="center"/>
              <w:rPr>
                <w:rFonts w:cs="Arial"/>
                <w:b/>
                <w:sz w:val="20"/>
              </w:rPr>
            </w:pPr>
            <w:r w:rsidRPr="00B07CC8">
              <w:rPr>
                <w:rFonts w:cs="Arial"/>
                <w:b/>
                <w:sz w:val="20"/>
              </w:rPr>
              <w:t>£000</w:t>
            </w:r>
          </w:p>
        </w:tc>
        <w:tc>
          <w:tcPr>
            <w:tcW w:w="1077" w:type="dxa"/>
          </w:tcPr>
          <w:p w14:paraId="7ECF16EA" w14:textId="48BD6199" w:rsidR="00157B60" w:rsidRPr="00B07CC8" w:rsidRDefault="00157B60" w:rsidP="00157B60">
            <w:pPr>
              <w:pStyle w:val="ListParagraph"/>
              <w:ind w:left="0"/>
              <w:jc w:val="center"/>
              <w:rPr>
                <w:rFonts w:cs="Arial"/>
                <w:b/>
                <w:sz w:val="20"/>
              </w:rPr>
            </w:pPr>
            <w:r w:rsidRPr="00B07CC8">
              <w:rPr>
                <w:rFonts w:cs="Arial"/>
                <w:b/>
                <w:sz w:val="20"/>
              </w:rPr>
              <w:t>£000</w:t>
            </w:r>
          </w:p>
        </w:tc>
        <w:tc>
          <w:tcPr>
            <w:tcW w:w="1189" w:type="dxa"/>
          </w:tcPr>
          <w:p w14:paraId="69AEFB0D" w14:textId="2455F942" w:rsidR="00157B60" w:rsidRPr="00B07CC8" w:rsidRDefault="00157B60" w:rsidP="00157B60">
            <w:pPr>
              <w:pStyle w:val="ListParagraph"/>
              <w:ind w:left="0"/>
              <w:jc w:val="center"/>
              <w:rPr>
                <w:rFonts w:cs="Arial"/>
                <w:b/>
                <w:sz w:val="20"/>
              </w:rPr>
            </w:pPr>
            <w:r w:rsidRPr="00B07CC8">
              <w:rPr>
                <w:rFonts w:cs="Arial"/>
                <w:b/>
                <w:sz w:val="20"/>
              </w:rPr>
              <w:t>£000</w:t>
            </w:r>
          </w:p>
        </w:tc>
      </w:tr>
      <w:tr w:rsidR="0056292F" w:rsidRPr="00B07CC8" w14:paraId="3676ED5F" w14:textId="77777777" w:rsidTr="00B07CC8">
        <w:tc>
          <w:tcPr>
            <w:tcW w:w="2708" w:type="dxa"/>
            <w:shd w:val="clear" w:color="auto" w:fill="auto"/>
          </w:tcPr>
          <w:p w14:paraId="15D4D76E" w14:textId="25072053" w:rsidR="0056292F" w:rsidRPr="00B07CC8" w:rsidRDefault="0056292F" w:rsidP="0056292F">
            <w:pPr>
              <w:pStyle w:val="ListParagraph"/>
              <w:ind w:left="0"/>
              <w:rPr>
                <w:rFonts w:cs="Arial"/>
                <w:bCs/>
                <w:sz w:val="20"/>
              </w:rPr>
            </w:pPr>
            <w:r w:rsidRPr="00B07CC8">
              <w:rPr>
                <w:sz w:val="20"/>
              </w:rPr>
              <w:t>Environmental Services</w:t>
            </w:r>
          </w:p>
        </w:tc>
        <w:tc>
          <w:tcPr>
            <w:tcW w:w="905" w:type="dxa"/>
            <w:shd w:val="clear" w:color="000000" w:fill="FFFFFF"/>
          </w:tcPr>
          <w:p w14:paraId="2159450B" w14:textId="64B65D64" w:rsidR="0056292F" w:rsidRPr="00B07CC8" w:rsidRDefault="0056292F" w:rsidP="0056292F">
            <w:pPr>
              <w:pStyle w:val="ListParagraph"/>
              <w:ind w:left="0"/>
              <w:jc w:val="right"/>
              <w:rPr>
                <w:rFonts w:cs="Arial"/>
                <w:bCs/>
                <w:sz w:val="20"/>
              </w:rPr>
            </w:pPr>
            <w:r w:rsidRPr="00B07CC8">
              <w:rPr>
                <w:sz w:val="20"/>
              </w:rPr>
              <w:t>19,691</w:t>
            </w:r>
          </w:p>
        </w:tc>
        <w:tc>
          <w:tcPr>
            <w:tcW w:w="950" w:type="dxa"/>
            <w:shd w:val="clear" w:color="000000" w:fill="FFFFFF"/>
          </w:tcPr>
          <w:p w14:paraId="78BA85AB" w14:textId="30055833" w:rsidR="0056292F" w:rsidRPr="00B07CC8" w:rsidRDefault="0056292F" w:rsidP="0056292F">
            <w:pPr>
              <w:pStyle w:val="ListParagraph"/>
              <w:ind w:left="0"/>
              <w:jc w:val="right"/>
              <w:rPr>
                <w:rFonts w:cs="Arial"/>
                <w:bCs/>
                <w:sz w:val="20"/>
              </w:rPr>
            </w:pPr>
            <w:r w:rsidRPr="00B07CC8">
              <w:rPr>
                <w:sz w:val="20"/>
              </w:rPr>
              <w:t>18,984</w:t>
            </w:r>
          </w:p>
        </w:tc>
        <w:tc>
          <w:tcPr>
            <w:tcW w:w="1106" w:type="dxa"/>
            <w:shd w:val="clear" w:color="000000" w:fill="FFFFFF"/>
          </w:tcPr>
          <w:p w14:paraId="26A6E6AF" w14:textId="4646158B" w:rsidR="0056292F" w:rsidRPr="00B07CC8" w:rsidRDefault="0056292F" w:rsidP="0056292F">
            <w:pPr>
              <w:pStyle w:val="ListParagraph"/>
              <w:ind w:left="0"/>
              <w:jc w:val="right"/>
              <w:rPr>
                <w:rFonts w:cs="Arial"/>
                <w:bCs/>
                <w:sz w:val="20"/>
              </w:rPr>
            </w:pPr>
            <w:r w:rsidRPr="00B07CC8">
              <w:rPr>
                <w:sz w:val="20"/>
              </w:rPr>
              <w:t>577</w:t>
            </w:r>
          </w:p>
        </w:tc>
        <w:tc>
          <w:tcPr>
            <w:tcW w:w="1143" w:type="dxa"/>
            <w:shd w:val="clear" w:color="000000" w:fill="FFFFFF"/>
          </w:tcPr>
          <w:p w14:paraId="6BECA143" w14:textId="098C609E" w:rsidR="0056292F" w:rsidRPr="00B07CC8" w:rsidRDefault="0056292F" w:rsidP="0056292F">
            <w:pPr>
              <w:pStyle w:val="ListParagraph"/>
              <w:ind w:left="0"/>
              <w:jc w:val="right"/>
              <w:rPr>
                <w:rFonts w:cs="Arial"/>
                <w:bCs/>
                <w:sz w:val="20"/>
              </w:rPr>
            </w:pPr>
            <w:r w:rsidRPr="00B07CC8">
              <w:rPr>
                <w:sz w:val="20"/>
              </w:rPr>
              <w:t>0</w:t>
            </w:r>
          </w:p>
        </w:tc>
        <w:tc>
          <w:tcPr>
            <w:tcW w:w="1128" w:type="dxa"/>
            <w:shd w:val="clear" w:color="000000" w:fill="FFFFFF"/>
          </w:tcPr>
          <w:p w14:paraId="6FF37170" w14:textId="22A5218E" w:rsidR="0056292F" w:rsidRPr="00B07CC8" w:rsidRDefault="0056292F" w:rsidP="0056292F">
            <w:pPr>
              <w:pStyle w:val="ListParagraph"/>
              <w:ind w:left="0"/>
              <w:jc w:val="right"/>
              <w:rPr>
                <w:rFonts w:cs="Arial"/>
                <w:bCs/>
                <w:sz w:val="20"/>
              </w:rPr>
            </w:pPr>
            <w:r w:rsidRPr="00B07CC8">
              <w:rPr>
                <w:sz w:val="20"/>
              </w:rPr>
              <w:t>142</w:t>
            </w:r>
          </w:p>
        </w:tc>
        <w:tc>
          <w:tcPr>
            <w:tcW w:w="1077" w:type="dxa"/>
            <w:shd w:val="clear" w:color="auto" w:fill="auto"/>
          </w:tcPr>
          <w:p w14:paraId="6953B751" w14:textId="3EA1A47E" w:rsidR="0056292F" w:rsidRPr="00B07CC8" w:rsidRDefault="0056292F" w:rsidP="0056292F">
            <w:pPr>
              <w:pStyle w:val="ListParagraph"/>
              <w:ind w:left="0"/>
              <w:jc w:val="right"/>
              <w:rPr>
                <w:rFonts w:cs="Arial"/>
                <w:bCs/>
                <w:sz w:val="20"/>
              </w:rPr>
            </w:pPr>
            <w:r w:rsidRPr="00B07CC8">
              <w:rPr>
                <w:sz w:val="20"/>
              </w:rPr>
              <w:t>19,703</w:t>
            </w:r>
          </w:p>
        </w:tc>
        <w:tc>
          <w:tcPr>
            <w:tcW w:w="1189" w:type="dxa"/>
            <w:shd w:val="clear" w:color="000000" w:fill="F2F2F2"/>
          </w:tcPr>
          <w:p w14:paraId="4BAC9257" w14:textId="09993527" w:rsidR="0056292F" w:rsidRPr="00B07CC8" w:rsidRDefault="0056292F" w:rsidP="0056292F">
            <w:pPr>
              <w:pStyle w:val="ListParagraph"/>
              <w:ind w:left="0"/>
              <w:jc w:val="right"/>
              <w:rPr>
                <w:rFonts w:cs="Arial"/>
                <w:bCs/>
                <w:sz w:val="20"/>
              </w:rPr>
            </w:pPr>
            <w:r w:rsidRPr="00B07CC8">
              <w:rPr>
                <w:sz w:val="20"/>
              </w:rPr>
              <w:t>12</w:t>
            </w:r>
          </w:p>
        </w:tc>
      </w:tr>
      <w:tr w:rsidR="0056292F" w:rsidRPr="00B07CC8" w14:paraId="09F01705" w14:textId="77777777" w:rsidTr="00B07CC8">
        <w:tc>
          <w:tcPr>
            <w:tcW w:w="2708" w:type="dxa"/>
            <w:shd w:val="clear" w:color="auto" w:fill="auto"/>
          </w:tcPr>
          <w:p w14:paraId="0B7D2038" w14:textId="60F592DD" w:rsidR="0056292F" w:rsidRPr="00B07CC8" w:rsidRDefault="0056292F" w:rsidP="0056292F">
            <w:pPr>
              <w:pStyle w:val="ListParagraph"/>
              <w:ind w:left="0"/>
              <w:jc w:val="both"/>
              <w:rPr>
                <w:rFonts w:cs="Arial"/>
                <w:bCs/>
                <w:sz w:val="20"/>
              </w:rPr>
            </w:pPr>
            <w:r w:rsidRPr="00B07CC8">
              <w:rPr>
                <w:sz w:val="20"/>
              </w:rPr>
              <w:t>Directorate Management</w:t>
            </w:r>
          </w:p>
        </w:tc>
        <w:tc>
          <w:tcPr>
            <w:tcW w:w="905" w:type="dxa"/>
            <w:shd w:val="clear" w:color="000000" w:fill="FFFFFF"/>
          </w:tcPr>
          <w:p w14:paraId="5A49BB7D" w14:textId="2B19E12F" w:rsidR="0056292F" w:rsidRPr="00B07CC8" w:rsidRDefault="0056292F" w:rsidP="0056292F">
            <w:pPr>
              <w:pStyle w:val="ListParagraph"/>
              <w:ind w:left="0"/>
              <w:jc w:val="right"/>
              <w:rPr>
                <w:rFonts w:cs="Arial"/>
                <w:bCs/>
                <w:sz w:val="20"/>
              </w:rPr>
            </w:pPr>
            <w:r w:rsidRPr="00B07CC8">
              <w:rPr>
                <w:sz w:val="20"/>
              </w:rPr>
              <w:t>5,346</w:t>
            </w:r>
          </w:p>
        </w:tc>
        <w:tc>
          <w:tcPr>
            <w:tcW w:w="950" w:type="dxa"/>
            <w:shd w:val="clear" w:color="000000" w:fill="FFFFFF"/>
          </w:tcPr>
          <w:p w14:paraId="59AA9E9F" w14:textId="347FD8E6" w:rsidR="0056292F" w:rsidRPr="00B07CC8" w:rsidRDefault="0056292F" w:rsidP="0056292F">
            <w:pPr>
              <w:pStyle w:val="ListParagraph"/>
              <w:ind w:left="0"/>
              <w:jc w:val="right"/>
              <w:rPr>
                <w:rFonts w:cs="Arial"/>
                <w:bCs/>
                <w:sz w:val="20"/>
              </w:rPr>
            </w:pPr>
            <w:r w:rsidRPr="00B07CC8">
              <w:rPr>
                <w:sz w:val="20"/>
              </w:rPr>
              <w:t>5,569</w:t>
            </w:r>
          </w:p>
        </w:tc>
        <w:tc>
          <w:tcPr>
            <w:tcW w:w="1106" w:type="dxa"/>
            <w:shd w:val="clear" w:color="000000" w:fill="FFFFFF"/>
          </w:tcPr>
          <w:p w14:paraId="01942F67" w14:textId="43CC1DA2" w:rsidR="0056292F" w:rsidRPr="00B07CC8" w:rsidRDefault="0056292F" w:rsidP="0056292F">
            <w:pPr>
              <w:pStyle w:val="ListParagraph"/>
              <w:ind w:left="0"/>
              <w:jc w:val="right"/>
              <w:rPr>
                <w:rFonts w:cs="Arial"/>
                <w:bCs/>
                <w:sz w:val="20"/>
              </w:rPr>
            </w:pPr>
            <w:r w:rsidRPr="00B07CC8">
              <w:rPr>
                <w:sz w:val="20"/>
              </w:rPr>
              <w:t>-48</w:t>
            </w:r>
          </w:p>
        </w:tc>
        <w:tc>
          <w:tcPr>
            <w:tcW w:w="1143" w:type="dxa"/>
            <w:shd w:val="clear" w:color="000000" w:fill="FFFFFF"/>
          </w:tcPr>
          <w:p w14:paraId="2CEB3CA4" w14:textId="0760BBE3" w:rsidR="0056292F" w:rsidRPr="00B07CC8" w:rsidRDefault="0056292F" w:rsidP="0056292F">
            <w:pPr>
              <w:pStyle w:val="ListParagraph"/>
              <w:ind w:left="0"/>
              <w:jc w:val="right"/>
              <w:rPr>
                <w:rFonts w:cs="Arial"/>
                <w:bCs/>
                <w:sz w:val="20"/>
              </w:rPr>
            </w:pPr>
            <w:r w:rsidRPr="00B07CC8">
              <w:rPr>
                <w:sz w:val="20"/>
              </w:rPr>
              <w:t>0</w:t>
            </w:r>
          </w:p>
        </w:tc>
        <w:tc>
          <w:tcPr>
            <w:tcW w:w="1128" w:type="dxa"/>
            <w:shd w:val="clear" w:color="000000" w:fill="FFFFFF"/>
          </w:tcPr>
          <w:p w14:paraId="57821839" w14:textId="2263F399" w:rsidR="0056292F" w:rsidRPr="00B07CC8" w:rsidRDefault="0056292F" w:rsidP="0056292F">
            <w:pPr>
              <w:pStyle w:val="ListParagraph"/>
              <w:ind w:left="0"/>
              <w:jc w:val="right"/>
              <w:rPr>
                <w:rFonts w:cs="Arial"/>
                <w:bCs/>
                <w:sz w:val="20"/>
              </w:rPr>
            </w:pPr>
            <w:r w:rsidRPr="00B07CC8">
              <w:rPr>
                <w:sz w:val="20"/>
              </w:rPr>
              <w:t>0</w:t>
            </w:r>
          </w:p>
        </w:tc>
        <w:tc>
          <w:tcPr>
            <w:tcW w:w="1077" w:type="dxa"/>
            <w:shd w:val="clear" w:color="auto" w:fill="auto"/>
          </w:tcPr>
          <w:p w14:paraId="34E83456" w14:textId="5C11933A" w:rsidR="0056292F" w:rsidRPr="00B07CC8" w:rsidRDefault="0056292F" w:rsidP="0056292F">
            <w:pPr>
              <w:pStyle w:val="ListParagraph"/>
              <w:ind w:left="0"/>
              <w:jc w:val="right"/>
              <w:rPr>
                <w:rFonts w:cs="Arial"/>
                <w:bCs/>
                <w:sz w:val="20"/>
              </w:rPr>
            </w:pPr>
            <w:r w:rsidRPr="00B07CC8">
              <w:rPr>
                <w:sz w:val="20"/>
              </w:rPr>
              <w:t>5,521</w:t>
            </w:r>
          </w:p>
        </w:tc>
        <w:tc>
          <w:tcPr>
            <w:tcW w:w="1189" w:type="dxa"/>
            <w:shd w:val="clear" w:color="000000" w:fill="F2F2F2"/>
          </w:tcPr>
          <w:p w14:paraId="4B2C9F82" w14:textId="17C9272D" w:rsidR="0056292F" w:rsidRPr="00B07CC8" w:rsidRDefault="0056292F" w:rsidP="0056292F">
            <w:pPr>
              <w:pStyle w:val="ListParagraph"/>
              <w:ind w:left="0"/>
              <w:jc w:val="right"/>
              <w:rPr>
                <w:rFonts w:cs="Arial"/>
                <w:bCs/>
                <w:sz w:val="20"/>
              </w:rPr>
            </w:pPr>
            <w:r w:rsidRPr="00B07CC8">
              <w:rPr>
                <w:sz w:val="20"/>
              </w:rPr>
              <w:t>175</w:t>
            </w:r>
          </w:p>
        </w:tc>
      </w:tr>
      <w:tr w:rsidR="0056292F" w:rsidRPr="00B07CC8" w14:paraId="7F19FE51" w14:textId="77777777" w:rsidTr="00B07CC8">
        <w:tc>
          <w:tcPr>
            <w:tcW w:w="2708" w:type="dxa"/>
            <w:shd w:val="clear" w:color="auto" w:fill="auto"/>
          </w:tcPr>
          <w:p w14:paraId="5AAFD7A8" w14:textId="1F5AB2AF" w:rsidR="0056292F" w:rsidRPr="00B07CC8" w:rsidRDefault="0056292F" w:rsidP="0056292F">
            <w:pPr>
              <w:pStyle w:val="ListParagraph"/>
              <w:ind w:left="0"/>
              <w:jc w:val="both"/>
              <w:rPr>
                <w:rFonts w:cs="Arial"/>
                <w:bCs/>
                <w:sz w:val="20"/>
              </w:rPr>
            </w:pPr>
            <w:r w:rsidRPr="00B07CC8">
              <w:rPr>
                <w:sz w:val="20"/>
              </w:rPr>
              <w:t>Housing General Fund</w:t>
            </w:r>
          </w:p>
        </w:tc>
        <w:tc>
          <w:tcPr>
            <w:tcW w:w="905" w:type="dxa"/>
            <w:shd w:val="clear" w:color="000000" w:fill="FFFFFF"/>
          </w:tcPr>
          <w:p w14:paraId="26F134C1" w14:textId="234B0504" w:rsidR="0056292F" w:rsidRPr="00B07CC8" w:rsidRDefault="0056292F" w:rsidP="0056292F">
            <w:pPr>
              <w:pStyle w:val="ListParagraph"/>
              <w:ind w:left="0"/>
              <w:jc w:val="right"/>
              <w:rPr>
                <w:rFonts w:cs="Arial"/>
                <w:bCs/>
                <w:sz w:val="20"/>
              </w:rPr>
            </w:pPr>
            <w:r w:rsidRPr="00B07CC8">
              <w:rPr>
                <w:sz w:val="20"/>
              </w:rPr>
              <w:t>4,271</w:t>
            </w:r>
          </w:p>
        </w:tc>
        <w:tc>
          <w:tcPr>
            <w:tcW w:w="950" w:type="dxa"/>
            <w:shd w:val="clear" w:color="000000" w:fill="FFFFFF"/>
          </w:tcPr>
          <w:p w14:paraId="0E819919" w14:textId="3C57FFF6" w:rsidR="0056292F" w:rsidRPr="00B07CC8" w:rsidRDefault="0056292F" w:rsidP="0056292F">
            <w:pPr>
              <w:pStyle w:val="ListParagraph"/>
              <w:ind w:left="0"/>
              <w:jc w:val="right"/>
              <w:rPr>
                <w:rFonts w:cs="Arial"/>
                <w:bCs/>
                <w:sz w:val="20"/>
              </w:rPr>
            </w:pPr>
            <w:r w:rsidRPr="00B07CC8">
              <w:rPr>
                <w:sz w:val="20"/>
              </w:rPr>
              <w:t>3,160</w:t>
            </w:r>
          </w:p>
        </w:tc>
        <w:tc>
          <w:tcPr>
            <w:tcW w:w="1106" w:type="dxa"/>
            <w:shd w:val="clear" w:color="000000" w:fill="FFFFFF"/>
          </w:tcPr>
          <w:p w14:paraId="1CDB046A" w14:textId="74E2495B" w:rsidR="0056292F" w:rsidRPr="00B07CC8" w:rsidRDefault="0056292F" w:rsidP="0056292F">
            <w:pPr>
              <w:pStyle w:val="ListParagraph"/>
              <w:ind w:left="0"/>
              <w:jc w:val="right"/>
              <w:rPr>
                <w:rFonts w:cs="Arial"/>
                <w:bCs/>
                <w:sz w:val="20"/>
              </w:rPr>
            </w:pPr>
            <w:r w:rsidRPr="00B07CC8">
              <w:rPr>
                <w:sz w:val="20"/>
              </w:rPr>
              <w:t>1,181</w:t>
            </w:r>
          </w:p>
        </w:tc>
        <w:tc>
          <w:tcPr>
            <w:tcW w:w="1143" w:type="dxa"/>
            <w:shd w:val="clear" w:color="000000" w:fill="FFFFFF"/>
          </w:tcPr>
          <w:p w14:paraId="1945100E" w14:textId="344CE6AD" w:rsidR="0056292F" w:rsidRPr="00B07CC8" w:rsidRDefault="0056292F" w:rsidP="0056292F">
            <w:pPr>
              <w:pStyle w:val="ListParagraph"/>
              <w:ind w:left="0"/>
              <w:jc w:val="right"/>
              <w:rPr>
                <w:rFonts w:cs="Arial"/>
                <w:bCs/>
                <w:sz w:val="20"/>
              </w:rPr>
            </w:pPr>
            <w:r w:rsidRPr="00B07CC8">
              <w:rPr>
                <w:sz w:val="20"/>
              </w:rPr>
              <w:t>-70</w:t>
            </w:r>
          </w:p>
        </w:tc>
        <w:tc>
          <w:tcPr>
            <w:tcW w:w="1128" w:type="dxa"/>
            <w:shd w:val="clear" w:color="000000" w:fill="FFFFFF"/>
          </w:tcPr>
          <w:p w14:paraId="0985AFBF" w14:textId="25E482BF" w:rsidR="0056292F" w:rsidRPr="00B07CC8" w:rsidRDefault="0056292F" w:rsidP="0056292F">
            <w:pPr>
              <w:pStyle w:val="ListParagraph"/>
              <w:ind w:left="0"/>
              <w:jc w:val="right"/>
              <w:rPr>
                <w:rFonts w:cs="Arial"/>
                <w:bCs/>
                <w:sz w:val="20"/>
              </w:rPr>
            </w:pPr>
            <w:r w:rsidRPr="00B07CC8">
              <w:rPr>
                <w:sz w:val="20"/>
              </w:rPr>
              <w:t>0</w:t>
            </w:r>
          </w:p>
        </w:tc>
        <w:tc>
          <w:tcPr>
            <w:tcW w:w="1077" w:type="dxa"/>
            <w:shd w:val="clear" w:color="auto" w:fill="auto"/>
          </w:tcPr>
          <w:p w14:paraId="68B3F0E0" w14:textId="10810C46" w:rsidR="0056292F" w:rsidRPr="00B07CC8" w:rsidRDefault="0056292F" w:rsidP="0056292F">
            <w:pPr>
              <w:pStyle w:val="ListParagraph"/>
              <w:ind w:left="0"/>
              <w:jc w:val="right"/>
              <w:rPr>
                <w:rFonts w:cs="Arial"/>
                <w:bCs/>
                <w:sz w:val="20"/>
              </w:rPr>
            </w:pPr>
            <w:r w:rsidRPr="00B07CC8">
              <w:rPr>
                <w:sz w:val="20"/>
              </w:rPr>
              <w:t>4,271</w:t>
            </w:r>
          </w:p>
        </w:tc>
        <w:tc>
          <w:tcPr>
            <w:tcW w:w="1189" w:type="dxa"/>
            <w:shd w:val="clear" w:color="000000" w:fill="F2F2F2"/>
          </w:tcPr>
          <w:p w14:paraId="5A2CADF2" w14:textId="16C46599" w:rsidR="0056292F" w:rsidRPr="00B07CC8" w:rsidRDefault="0056292F" w:rsidP="0056292F">
            <w:pPr>
              <w:pStyle w:val="ListParagraph"/>
              <w:ind w:left="0"/>
              <w:jc w:val="right"/>
              <w:rPr>
                <w:rFonts w:cs="Arial"/>
                <w:bCs/>
                <w:sz w:val="20"/>
              </w:rPr>
            </w:pPr>
            <w:r w:rsidRPr="00B07CC8">
              <w:rPr>
                <w:sz w:val="20"/>
              </w:rPr>
              <w:t>0</w:t>
            </w:r>
          </w:p>
        </w:tc>
      </w:tr>
      <w:tr w:rsidR="0056292F" w:rsidRPr="00B07CC8" w14:paraId="3D20C1EE" w14:textId="77777777" w:rsidTr="00B07CC8">
        <w:tc>
          <w:tcPr>
            <w:tcW w:w="2708" w:type="dxa"/>
            <w:shd w:val="clear" w:color="auto" w:fill="auto"/>
          </w:tcPr>
          <w:p w14:paraId="233E6EBA" w14:textId="7B7CB1AD" w:rsidR="0056292F" w:rsidRPr="00B07CC8" w:rsidRDefault="0056292F" w:rsidP="0056292F">
            <w:pPr>
              <w:pStyle w:val="ListParagraph"/>
              <w:ind w:left="0"/>
              <w:jc w:val="both"/>
              <w:rPr>
                <w:rFonts w:cs="Arial"/>
                <w:bCs/>
                <w:sz w:val="20"/>
              </w:rPr>
            </w:pPr>
            <w:r w:rsidRPr="00B07CC8">
              <w:rPr>
                <w:sz w:val="20"/>
              </w:rPr>
              <w:t>Enterprise and Planning</w:t>
            </w:r>
          </w:p>
        </w:tc>
        <w:tc>
          <w:tcPr>
            <w:tcW w:w="905" w:type="dxa"/>
            <w:shd w:val="clear" w:color="000000" w:fill="FFFFFF"/>
          </w:tcPr>
          <w:p w14:paraId="2D2A8E71" w14:textId="52CC6CD8" w:rsidR="0056292F" w:rsidRPr="00B07CC8" w:rsidRDefault="0056292F" w:rsidP="0056292F">
            <w:pPr>
              <w:pStyle w:val="ListParagraph"/>
              <w:ind w:left="0"/>
              <w:jc w:val="right"/>
              <w:rPr>
                <w:rFonts w:cs="Arial"/>
                <w:bCs/>
                <w:sz w:val="20"/>
              </w:rPr>
            </w:pPr>
            <w:r w:rsidRPr="00B07CC8">
              <w:rPr>
                <w:sz w:val="20"/>
              </w:rPr>
              <w:t>1,164</w:t>
            </w:r>
          </w:p>
        </w:tc>
        <w:tc>
          <w:tcPr>
            <w:tcW w:w="950" w:type="dxa"/>
            <w:shd w:val="clear" w:color="000000" w:fill="FFFFFF"/>
          </w:tcPr>
          <w:p w14:paraId="54A759B8" w14:textId="34C7B8B7" w:rsidR="0056292F" w:rsidRPr="00B07CC8" w:rsidRDefault="0056292F" w:rsidP="0056292F">
            <w:pPr>
              <w:pStyle w:val="ListParagraph"/>
              <w:ind w:left="0"/>
              <w:jc w:val="right"/>
              <w:rPr>
                <w:rFonts w:cs="Arial"/>
                <w:bCs/>
                <w:sz w:val="20"/>
              </w:rPr>
            </w:pPr>
            <w:r w:rsidRPr="00B07CC8">
              <w:rPr>
                <w:sz w:val="20"/>
              </w:rPr>
              <w:t>-1,207</w:t>
            </w:r>
          </w:p>
        </w:tc>
        <w:tc>
          <w:tcPr>
            <w:tcW w:w="1106" w:type="dxa"/>
            <w:shd w:val="clear" w:color="000000" w:fill="FFFFFF"/>
          </w:tcPr>
          <w:p w14:paraId="3329CB6D" w14:textId="1CD1D7F7" w:rsidR="0056292F" w:rsidRPr="00B07CC8" w:rsidRDefault="0056292F" w:rsidP="0056292F">
            <w:pPr>
              <w:pStyle w:val="ListParagraph"/>
              <w:ind w:left="0"/>
              <w:jc w:val="right"/>
              <w:rPr>
                <w:rFonts w:cs="Arial"/>
                <w:bCs/>
                <w:sz w:val="20"/>
              </w:rPr>
            </w:pPr>
            <w:r w:rsidRPr="00B07CC8">
              <w:rPr>
                <w:sz w:val="20"/>
              </w:rPr>
              <w:t>2,335</w:t>
            </w:r>
          </w:p>
        </w:tc>
        <w:tc>
          <w:tcPr>
            <w:tcW w:w="1143" w:type="dxa"/>
            <w:shd w:val="clear" w:color="000000" w:fill="FFFFFF"/>
          </w:tcPr>
          <w:p w14:paraId="656DD76F" w14:textId="56B35FEB" w:rsidR="0056292F" w:rsidRPr="00B07CC8" w:rsidRDefault="0056292F" w:rsidP="0056292F">
            <w:pPr>
              <w:pStyle w:val="ListParagraph"/>
              <w:ind w:left="0"/>
              <w:jc w:val="right"/>
              <w:rPr>
                <w:rFonts w:cs="Arial"/>
                <w:bCs/>
                <w:sz w:val="20"/>
              </w:rPr>
            </w:pPr>
            <w:r w:rsidRPr="00B07CC8">
              <w:rPr>
                <w:sz w:val="20"/>
              </w:rPr>
              <w:t>0</w:t>
            </w:r>
          </w:p>
        </w:tc>
        <w:tc>
          <w:tcPr>
            <w:tcW w:w="1128" w:type="dxa"/>
            <w:shd w:val="clear" w:color="000000" w:fill="FFFFFF"/>
          </w:tcPr>
          <w:p w14:paraId="41EE9810" w14:textId="0284C534" w:rsidR="0056292F" w:rsidRPr="00B07CC8" w:rsidRDefault="0056292F" w:rsidP="0056292F">
            <w:pPr>
              <w:pStyle w:val="ListParagraph"/>
              <w:ind w:left="0"/>
              <w:jc w:val="right"/>
              <w:rPr>
                <w:rFonts w:cs="Arial"/>
                <w:bCs/>
                <w:sz w:val="20"/>
              </w:rPr>
            </w:pPr>
            <w:r w:rsidRPr="00B07CC8">
              <w:rPr>
                <w:sz w:val="20"/>
              </w:rPr>
              <w:t>424</w:t>
            </w:r>
          </w:p>
        </w:tc>
        <w:tc>
          <w:tcPr>
            <w:tcW w:w="1077" w:type="dxa"/>
            <w:shd w:val="clear" w:color="auto" w:fill="auto"/>
          </w:tcPr>
          <w:p w14:paraId="794C7660" w14:textId="75246F83" w:rsidR="0056292F" w:rsidRPr="00B07CC8" w:rsidRDefault="0056292F" w:rsidP="0056292F">
            <w:pPr>
              <w:pStyle w:val="ListParagraph"/>
              <w:ind w:left="0"/>
              <w:jc w:val="right"/>
              <w:rPr>
                <w:rFonts w:cs="Arial"/>
                <w:bCs/>
                <w:sz w:val="20"/>
              </w:rPr>
            </w:pPr>
            <w:r w:rsidRPr="00B07CC8">
              <w:rPr>
                <w:sz w:val="20"/>
              </w:rPr>
              <w:t>1,552</w:t>
            </w:r>
          </w:p>
        </w:tc>
        <w:tc>
          <w:tcPr>
            <w:tcW w:w="1189" w:type="dxa"/>
            <w:shd w:val="clear" w:color="000000" w:fill="F2F2F2"/>
          </w:tcPr>
          <w:p w14:paraId="0566358B" w14:textId="7D2F5049" w:rsidR="0056292F" w:rsidRPr="00B07CC8" w:rsidRDefault="0056292F" w:rsidP="0056292F">
            <w:pPr>
              <w:pStyle w:val="ListParagraph"/>
              <w:ind w:left="0"/>
              <w:jc w:val="right"/>
              <w:rPr>
                <w:rFonts w:cs="Arial"/>
                <w:bCs/>
                <w:sz w:val="20"/>
              </w:rPr>
            </w:pPr>
            <w:r w:rsidRPr="00B07CC8">
              <w:rPr>
                <w:sz w:val="20"/>
              </w:rPr>
              <w:t>388</w:t>
            </w:r>
          </w:p>
        </w:tc>
      </w:tr>
      <w:tr w:rsidR="0056292F" w:rsidRPr="00B07CC8" w14:paraId="2237F950" w14:textId="77777777" w:rsidTr="00B07CC8">
        <w:tc>
          <w:tcPr>
            <w:tcW w:w="2708" w:type="dxa"/>
            <w:shd w:val="clear" w:color="auto" w:fill="auto"/>
          </w:tcPr>
          <w:p w14:paraId="2CBC9649" w14:textId="6AA79465" w:rsidR="0056292F" w:rsidRPr="00B07CC8" w:rsidRDefault="0056292F" w:rsidP="0056292F">
            <w:pPr>
              <w:pStyle w:val="ListParagraph"/>
              <w:ind w:left="0"/>
              <w:jc w:val="both"/>
              <w:rPr>
                <w:rFonts w:cs="Arial"/>
                <w:bCs/>
                <w:sz w:val="20"/>
              </w:rPr>
            </w:pPr>
            <w:r w:rsidRPr="00B07CC8">
              <w:rPr>
                <w:sz w:val="20"/>
              </w:rPr>
              <w:t>Cultural Services</w:t>
            </w:r>
          </w:p>
        </w:tc>
        <w:tc>
          <w:tcPr>
            <w:tcW w:w="905" w:type="dxa"/>
            <w:shd w:val="clear" w:color="000000" w:fill="FFFFFF"/>
          </w:tcPr>
          <w:p w14:paraId="59DE4BA7" w14:textId="00B86E7C" w:rsidR="0056292F" w:rsidRPr="00B07CC8" w:rsidRDefault="0056292F" w:rsidP="0056292F">
            <w:pPr>
              <w:pStyle w:val="ListParagraph"/>
              <w:ind w:left="0"/>
              <w:jc w:val="right"/>
              <w:rPr>
                <w:rFonts w:cs="Arial"/>
                <w:bCs/>
                <w:sz w:val="20"/>
              </w:rPr>
            </w:pPr>
            <w:r w:rsidRPr="00B07CC8">
              <w:rPr>
                <w:sz w:val="20"/>
              </w:rPr>
              <w:t>2,437</w:t>
            </w:r>
          </w:p>
        </w:tc>
        <w:tc>
          <w:tcPr>
            <w:tcW w:w="950" w:type="dxa"/>
            <w:shd w:val="clear" w:color="000000" w:fill="FFFFFF"/>
          </w:tcPr>
          <w:p w14:paraId="40093D67" w14:textId="63D3E7A3" w:rsidR="0056292F" w:rsidRPr="00B07CC8" w:rsidRDefault="0056292F" w:rsidP="0056292F">
            <w:pPr>
              <w:pStyle w:val="ListParagraph"/>
              <w:ind w:left="0"/>
              <w:jc w:val="right"/>
              <w:rPr>
                <w:rFonts w:cs="Arial"/>
                <w:bCs/>
                <w:sz w:val="20"/>
              </w:rPr>
            </w:pPr>
            <w:r w:rsidRPr="00B07CC8">
              <w:rPr>
                <w:sz w:val="20"/>
              </w:rPr>
              <w:t>1,715</w:t>
            </w:r>
          </w:p>
        </w:tc>
        <w:tc>
          <w:tcPr>
            <w:tcW w:w="1106" w:type="dxa"/>
            <w:shd w:val="clear" w:color="000000" w:fill="FFFFFF"/>
          </w:tcPr>
          <w:p w14:paraId="3D857C4C" w14:textId="3189D5A6" w:rsidR="0056292F" w:rsidRPr="00B07CC8" w:rsidRDefault="0056292F" w:rsidP="0056292F">
            <w:pPr>
              <w:pStyle w:val="ListParagraph"/>
              <w:ind w:left="0"/>
              <w:jc w:val="right"/>
              <w:rPr>
                <w:rFonts w:cs="Arial"/>
                <w:bCs/>
                <w:sz w:val="20"/>
              </w:rPr>
            </w:pPr>
            <w:r w:rsidRPr="00B07CC8">
              <w:rPr>
                <w:sz w:val="20"/>
              </w:rPr>
              <w:t>25</w:t>
            </w:r>
          </w:p>
        </w:tc>
        <w:tc>
          <w:tcPr>
            <w:tcW w:w="1143" w:type="dxa"/>
            <w:shd w:val="clear" w:color="000000" w:fill="FFFFFF"/>
          </w:tcPr>
          <w:p w14:paraId="44FE4E52" w14:textId="215E08D3" w:rsidR="0056292F" w:rsidRPr="00B07CC8" w:rsidRDefault="0056292F" w:rsidP="0056292F">
            <w:pPr>
              <w:pStyle w:val="ListParagraph"/>
              <w:ind w:left="0"/>
              <w:jc w:val="right"/>
              <w:rPr>
                <w:rFonts w:cs="Arial"/>
                <w:bCs/>
                <w:sz w:val="20"/>
              </w:rPr>
            </w:pPr>
            <w:r w:rsidRPr="00B07CC8">
              <w:rPr>
                <w:sz w:val="20"/>
              </w:rPr>
              <w:t>0</w:t>
            </w:r>
          </w:p>
        </w:tc>
        <w:tc>
          <w:tcPr>
            <w:tcW w:w="1128" w:type="dxa"/>
            <w:shd w:val="clear" w:color="000000" w:fill="FFFFFF"/>
          </w:tcPr>
          <w:p w14:paraId="6B0F6A0A" w14:textId="29E21E4F" w:rsidR="0056292F" w:rsidRPr="00B07CC8" w:rsidRDefault="0056292F" w:rsidP="0056292F">
            <w:pPr>
              <w:pStyle w:val="ListParagraph"/>
              <w:ind w:left="0"/>
              <w:jc w:val="right"/>
              <w:rPr>
                <w:rFonts w:cs="Arial"/>
                <w:bCs/>
                <w:sz w:val="20"/>
              </w:rPr>
            </w:pPr>
            <w:r w:rsidRPr="00B07CC8">
              <w:rPr>
                <w:sz w:val="20"/>
              </w:rPr>
              <w:t>532</w:t>
            </w:r>
          </w:p>
        </w:tc>
        <w:tc>
          <w:tcPr>
            <w:tcW w:w="1077" w:type="dxa"/>
            <w:shd w:val="clear" w:color="auto" w:fill="auto"/>
          </w:tcPr>
          <w:p w14:paraId="4964020F" w14:textId="51FA3D07" w:rsidR="0056292F" w:rsidRPr="00B07CC8" w:rsidRDefault="0056292F" w:rsidP="0056292F">
            <w:pPr>
              <w:pStyle w:val="ListParagraph"/>
              <w:ind w:left="0"/>
              <w:jc w:val="right"/>
              <w:rPr>
                <w:rFonts w:cs="Arial"/>
                <w:bCs/>
                <w:sz w:val="20"/>
              </w:rPr>
            </w:pPr>
            <w:r w:rsidRPr="00B07CC8">
              <w:rPr>
                <w:sz w:val="20"/>
              </w:rPr>
              <w:t>2,272</w:t>
            </w:r>
          </w:p>
        </w:tc>
        <w:tc>
          <w:tcPr>
            <w:tcW w:w="1189" w:type="dxa"/>
            <w:shd w:val="clear" w:color="000000" w:fill="F2F2F2"/>
          </w:tcPr>
          <w:p w14:paraId="1CAFE02E" w14:textId="20C8DD84" w:rsidR="0056292F" w:rsidRPr="00B07CC8" w:rsidRDefault="0056292F" w:rsidP="0056292F">
            <w:pPr>
              <w:pStyle w:val="ListParagraph"/>
              <w:ind w:left="0"/>
              <w:jc w:val="right"/>
              <w:rPr>
                <w:rFonts w:cs="Arial"/>
                <w:bCs/>
                <w:sz w:val="20"/>
              </w:rPr>
            </w:pPr>
            <w:r w:rsidRPr="00B07CC8">
              <w:rPr>
                <w:sz w:val="20"/>
              </w:rPr>
              <w:t>-165</w:t>
            </w:r>
          </w:p>
        </w:tc>
      </w:tr>
      <w:tr w:rsidR="0056292F" w:rsidRPr="00B07CC8" w14:paraId="36BFFF3F" w14:textId="77777777" w:rsidTr="00B07CC8">
        <w:tc>
          <w:tcPr>
            <w:tcW w:w="2708" w:type="dxa"/>
            <w:shd w:val="clear" w:color="auto" w:fill="auto"/>
          </w:tcPr>
          <w:p w14:paraId="5864392B" w14:textId="34833C34" w:rsidR="0056292F" w:rsidRPr="00B07CC8" w:rsidRDefault="0056292F" w:rsidP="0056292F">
            <w:pPr>
              <w:pStyle w:val="ListParagraph"/>
              <w:ind w:left="0"/>
              <w:jc w:val="both"/>
              <w:rPr>
                <w:rFonts w:cs="Arial"/>
                <w:bCs/>
                <w:sz w:val="20"/>
              </w:rPr>
            </w:pPr>
            <w:r w:rsidRPr="00B07CC8">
              <w:rPr>
                <w:sz w:val="20"/>
              </w:rPr>
              <w:t>Regeneration</w:t>
            </w:r>
          </w:p>
        </w:tc>
        <w:tc>
          <w:tcPr>
            <w:tcW w:w="905" w:type="dxa"/>
            <w:shd w:val="clear" w:color="000000" w:fill="FFFFFF"/>
          </w:tcPr>
          <w:p w14:paraId="17F20EED" w14:textId="61542A43" w:rsidR="0056292F" w:rsidRPr="00B07CC8" w:rsidRDefault="0056292F" w:rsidP="0056292F">
            <w:pPr>
              <w:pStyle w:val="ListParagraph"/>
              <w:ind w:left="0"/>
              <w:jc w:val="right"/>
              <w:rPr>
                <w:rFonts w:cs="Arial"/>
                <w:bCs/>
                <w:sz w:val="20"/>
              </w:rPr>
            </w:pPr>
            <w:r w:rsidRPr="00B07CC8">
              <w:rPr>
                <w:sz w:val="20"/>
              </w:rPr>
              <w:t>0</w:t>
            </w:r>
          </w:p>
        </w:tc>
        <w:tc>
          <w:tcPr>
            <w:tcW w:w="950" w:type="dxa"/>
            <w:shd w:val="clear" w:color="000000" w:fill="FFFFFF"/>
          </w:tcPr>
          <w:p w14:paraId="3C334794" w14:textId="40CB90E9" w:rsidR="0056292F" w:rsidRPr="00B07CC8" w:rsidRDefault="0056292F" w:rsidP="0056292F">
            <w:pPr>
              <w:pStyle w:val="ListParagraph"/>
              <w:ind w:left="0"/>
              <w:jc w:val="right"/>
              <w:rPr>
                <w:rFonts w:cs="Arial"/>
                <w:bCs/>
                <w:sz w:val="20"/>
              </w:rPr>
            </w:pPr>
            <w:r w:rsidRPr="00B07CC8">
              <w:rPr>
                <w:sz w:val="20"/>
              </w:rPr>
              <w:t>943</w:t>
            </w:r>
          </w:p>
        </w:tc>
        <w:tc>
          <w:tcPr>
            <w:tcW w:w="1106" w:type="dxa"/>
            <w:shd w:val="clear" w:color="000000" w:fill="FFFFFF"/>
          </w:tcPr>
          <w:p w14:paraId="164DDC6C" w14:textId="2D0E9B33" w:rsidR="0056292F" w:rsidRPr="00B07CC8" w:rsidRDefault="0056292F" w:rsidP="0056292F">
            <w:pPr>
              <w:pStyle w:val="ListParagraph"/>
              <w:ind w:left="0"/>
              <w:jc w:val="right"/>
              <w:rPr>
                <w:rFonts w:cs="Arial"/>
                <w:bCs/>
                <w:sz w:val="20"/>
              </w:rPr>
            </w:pPr>
            <w:r w:rsidRPr="00B07CC8">
              <w:rPr>
                <w:sz w:val="20"/>
              </w:rPr>
              <w:t>0</w:t>
            </w:r>
          </w:p>
        </w:tc>
        <w:tc>
          <w:tcPr>
            <w:tcW w:w="1143" w:type="dxa"/>
            <w:shd w:val="clear" w:color="000000" w:fill="FFFFFF"/>
          </w:tcPr>
          <w:p w14:paraId="440DE50A" w14:textId="4AB71A5B" w:rsidR="0056292F" w:rsidRPr="00B07CC8" w:rsidRDefault="0056292F" w:rsidP="0056292F">
            <w:pPr>
              <w:pStyle w:val="ListParagraph"/>
              <w:ind w:left="0"/>
              <w:jc w:val="right"/>
              <w:rPr>
                <w:rFonts w:cs="Arial"/>
                <w:bCs/>
                <w:sz w:val="20"/>
              </w:rPr>
            </w:pPr>
            <w:r w:rsidRPr="00B07CC8">
              <w:rPr>
                <w:sz w:val="20"/>
              </w:rPr>
              <w:t>0</w:t>
            </w:r>
          </w:p>
        </w:tc>
        <w:tc>
          <w:tcPr>
            <w:tcW w:w="1128" w:type="dxa"/>
            <w:shd w:val="clear" w:color="000000" w:fill="FFFFFF"/>
          </w:tcPr>
          <w:p w14:paraId="6418873F" w14:textId="1DF85894" w:rsidR="0056292F" w:rsidRPr="00B07CC8" w:rsidRDefault="0056292F" w:rsidP="0056292F">
            <w:pPr>
              <w:pStyle w:val="ListParagraph"/>
              <w:ind w:left="0"/>
              <w:jc w:val="right"/>
              <w:rPr>
                <w:rFonts w:cs="Arial"/>
                <w:bCs/>
                <w:sz w:val="20"/>
              </w:rPr>
            </w:pPr>
            <w:r w:rsidRPr="00B07CC8">
              <w:rPr>
                <w:sz w:val="20"/>
              </w:rPr>
              <w:t>0</w:t>
            </w:r>
          </w:p>
        </w:tc>
        <w:tc>
          <w:tcPr>
            <w:tcW w:w="1077" w:type="dxa"/>
            <w:shd w:val="clear" w:color="auto" w:fill="auto"/>
          </w:tcPr>
          <w:p w14:paraId="1C097B31" w14:textId="2D61EE18" w:rsidR="0056292F" w:rsidRPr="00B07CC8" w:rsidRDefault="0056292F" w:rsidP="0056292F">
            <w:pPr>
              <w:pStyle w:val="ListParagraph"/>
              <w:ind w:left="0"/>
              <w:jc w:val="right"/>
              <w:rPr>
                <w:rFonts w:cs="Arial"/>
                <w:bCs/>
                <w:sz w:val="20"/>
              </w:rPr>
            </w:pPr>
            <w:r w:rsidRPr="00B07CC8">
              <w:rPr>
                <w:sz w:val="20"/>
              </w:rPr>
              <w:t>943</w:t>
            </w:r>
          </w:p>
        </w:tc>
        <w:tc>
          <w:tcPr>
            <w:tcW w:w="1189" w:type="dxa"/>
            <w:shd w:val="clear" w:color="000000" w:fill="F2F2F2"/>
          </w:tcPr>
          <w:p w14:paraId="32C7D195" w14:textId="5E3D6EAD" w:rsidR="0056292F" w:rsidRPr="00B07CC8" w:rsidRDefault="0056292F" w:rsidP="0056292F">
            <w:pPr>
              <w:pStyle w:val="ListParagraph"/>
              <w:ind w:left="0"/>
              <w:jc w:val="right"/>
              <w:rPr>
                <w:rFonts w:cs="Arial"/>
                <w:bCs/>
                <w:sz w:val="20"/>
              </w:rPr>
            </w:pPr>
            <w:r w:rsidRPr="00B07CC8">
              <w:rPr>
                <w:sz w:val="20"/>
              </w:rPr>
              <w:t>943</w:t>
            </w:r>
          </w:p>
        </w:tc>
      </w:tr>
      <w:tr w:rsidR="0056292F" w:rsidRPr="00B07CC8" w14:paraId="0B2C4514" w14:textId="77777777" w:rsidTr="00B07CC8">
        <w:tc>
          <w:tcPr>
            <w:tcW w:w="2708" w:type="dxa"/>
            <w:shd w:val="clear" w:color="auto" w:fill="auto"/>
          </w:tcPr>
          <w:p w14:paraId="58B0A668" w14:textId="268AE129" w:rsidR="0056292F" w:rsidRPr="00B07CC8" w:rsidRDefault="0056292F" w:rsidP="0056292F">
            <w:pPr>
              <w:pStyle w:val="ListParagraph"/>
              <w:ind w:left="0"/>
              <w:jc w:val="both"/>
              <w:rPr>
                <w:rFonts w:cs="Arial"/>
                <w:sz w:val="20"/>
              </w:rPr>
            </w:pPr>
            <w:r w:rsidRPr="00B07CC8">
              <w:rPr>
                <w:sz w:val="20"/>
              </w:rPr>
              <w:t>Total Budget</w:t>
            </w:r>
          </w:p>
        </w:tc>
        <w:tc>
          <w:tcPr>
            <w:tcW w:w="905" w:type="dxa"/>
            <w:shd w:val="clear" w:color="000000" w:fill="FFFFFF"/>
          </w:tcPr>
          <w:p w14:paraId="0BECD84C" w14:textId="693C1763" w:rsidR="0056292F" w:rsidRPr="00B07CC8" w:rsidRDefault="0056292F" w:rsidP="0056292F">
            <w:pPr>
              <w:pStyle w:val="ListParagraph"/>
              <w:ind w:left="0"/>
              <w:jc w:val="right"/>
              <w:rPr>
                <w:rFonts w:cs="Arial"/>
                <w:sz w:val="20"/>
              </w:rPr>
            </w:pPr>
            <w:r w:rsidRPr="00B07CC8">
              <w:rPr>
                <w:sz w:val="20"/>
              </w:rPr>
              <w:t>32,909</w:t>
            </w:r>
          </w:p>
        </w:tc>
        <w:tc>
          <w:tcPr>
            <w:tcW w:w="950" w:type="dxa"/>
            <w:shd w:val="clear" w:color="000000" w:fill="FFFFFF"/>
          </w:tcPr>
          <w:p w14:paraId="1832A065" w14:textId="37A503C4" w:rsidR="0056292F" w:rsidRPr="00B07CC8" w:rsidRDefault="0056292F" w:rsidP="0056292F">
            <w:pPr>
              <w:pStyle w:val="ListParagraph"/>
              <w:ind w:left="0"/>
              <w:jc w:val="right"/>
              <w:rPr>
                <w:rFonts w:cs="Arial"/>
                <w:sz w:val="20"/>
              </w:rPr>
            </w:pPr>
            <w:r w:rsidRPr="00B07CC8">
              <w:rPr>
                <w:sz w:val="20"/>
              </w:rPr>
              <w:t>29,164</w:t>
            </w:r>
          </w:p>
        </w:tc>
        <w:tc>
          <w:tcPr>
            <w:tcW w:w="1106" w:type="dxa"/>
            <w:shd w:val="clear" w:color="000000" w:fill="FFFFFF"/>
          </w:tcPr>
          <w:p w14:paraId="694012CA" w14:textId="7D2618BC" w:rsidR="0056292F" w:rsidRPr="00B07CC8" w:rsidRDefault="0056292F" w:rsidP="0056292F">
            <w:pPr>
              <w:pStyle w:val="ListParagraph"/>
              <w:ind w:left="0"/>
              <w:jc w:val="right"/>
              <w:rPr>
                <w:rFonts w:cs="Arial"/>
                <w:sz w:val="20"/>
              </w:rPr>
            </w:pPr>
            <w:r w:rsidRPr="00B07CC8">
              <w:rPr>
                <w:sz w:val="20"/>
              </w:rPr>
              <w:t>4,070</w:t>
            </w:r>
          </w:p>
        </w:tc>
        <w:tc>
          <w:tcPr>
            <w:tcW w:w="1143" w:type="dxa"/>
            <w:shd w:val="clear" w:color="000000" w:fill="FFFFFF"/>
          </w:tcPr>
          <w:p w14:paraId="5A1DAFE4" w14:textId="6135091F" w:rsidR="0056292F" w:rsidRPr="00B07CC8" w:rsidRDefault="0056292F" w:rsidP="0056292F">
            <w:pPr>
              <w:pStyle w:val="ListParagraph"/>
              <w:ind w:left="0"/>
              <w:jc w:val="right"/>
              <w:rPr>
                <w:rFonts w:cs="Arial"/>
                <w:sz w:val="20"/>
              </w:rPr>
            </w:pPr>
            <w:r w:rsidRPr="00B07CC8">
              <w:rPr>
                <w:sz w:val="20"/>
              </w:rPr>
              <w:t>-70</w:t>
            </w:r>
          </w:p>
        </w:tc>
        <w:tc>
          <w:tcPr>
            <w:tcW w:w="1128" w:type="dxa"/>
            <w:shd w:val="clear" w:color="000000" w:fill="FFFFFF"/>
          </w:tcPr>
          <w:p w14:paraId="3FF195DF" w14:textId="3FEA0D6E" w:rsidR="0056292F" w:rsidRPr="00B07CC8" w:rsidRDefault="0056292F" w:rsidP="0056292F">
            <w:pPr>
              <w:pStyle w:val="ListParagraph"/>
              <w:ind w:left="0"/>
              <w:jc w:val="right"/>
              <w:rPr>
                <w:rFonts w:cs="Arial"/>
                <w:sz w:val="20"/>
              </w:rPr>
            </w:pPr>
            <w:r w:rsidRPr="00B07CC8">
              <w:rPr>
                <w:sz w:val="20"/>
              </w:rPr>
              <w:t>1,098</w:t>
            </w:r>
          </w:p>
        </w:tc>
        <w:tc>
          <w:tcPr>
            <w:tcW w:w="1077" w:type="dxa"/>
            <w:shd w:val="clear" w:color="auto" w:fill="auto"/>
          </w:tcPr>
          <w:p w14:paraId="320F4FE6" w14:textId="7B5BD0D3" w:rsidR="0056292F" w:rsidRPr="00B07CC8" w:rsidRDefault="0056292F" w:rsidP="0056292F">
            <w:pPr>
              <w:pStyle w:val="ListParagraph"/>
              <w:ind w:left="0"/>
              <w:jc w:val="right"/>
              <w:rPr>
                <w:rFonts w:cs="Arial"/>
                <w:sz w:val="20"/>
              </w:rPr>
            </w:pPr>
            <w:r w:rsidRPr="00B07CC8">
              <w:rPr>
                <w:sz w:val="20"/>
              </w:rPr>
              <w:t>34,262</w:t>
            </w:r>
          </w:p>
        </w:tc>
        <w:tc>
          <w:tcPr>
            <w:tcW w:w="1189" w:type="dxa"/>
            <w:shd w:val="clear" w:color="000000" w:fill="F2F2F2"/>
          </w:tcPr>
          <w:p w14:paraId="1078F3C3" w14:textId="29B2D4D0" w:rsidR="0056292F" w:rsidRPr="00B07CC8" w:rsidRDefault="0056292F" w:rsidP="0056292F">
            <w:pPr>
              <w:pStyle w:val="ListParagraph"/>
              <w:ind w:left="0"/>
              <w:jc w:val="right"/>
              <w:rPr>
                <w:rFonts w:cs="Arial"/>
                <w:sz w:val="20"/>
              </w:rPr>
            </w:pPr>
            <w:r w:rsidRPr="00B07CC8">
              <w:rPr>
                <w:sz w:val="20"/>
              </w:rPr>
              <w:t>1,354</w:t>
            </w:r>
          </w:p>
        </w:tc>
      </w:tr>
    </w:tbl>
    <w:p w14:paraId="57EBBDA9" w14:textId="77777777" w:rsidR="00F5674D" w:rsidRPr="00191487" w:rsidRDefault="00F5674D" w:rsidP="00F5674D">
      <w:pPr>
        <w:pStyle w:val="ListParagraph"/>
        <w:ind w:left="567"/>
        <w:jc w:val="both"/>
        <w:rPr>
          <w:rFonts w:cs="Arial"/>
          <w:bCs/>
        </w:rPr>
      </w:pPr>
    </w:p>
    <w:p w14:paraId="2F032B1A" w14:textId="3D2C7AD3" w:rsidR="00960DF8" w:rsidRPr="00191487" w:rsidRDefault="00960DF8" w:rsidP="00960DF8">
      <w:pPr>
        <w:pStyle w:val="ListParagraph"/>
        <w:numPr>
          <w:ilvl w:val="0"/>
          <w:numId w:val="5"/>
        </w:numPr>
        <w:ind w:left="567" w:hanging="567"/>
        <w:jc w:val="both"/>
        <w:rPr>
          <w:rFonts w:cs="Arial"/>
          <w:bCs/>
        </w:rPr>
      </w:pPr>
      <w:r w:rsidRPr="00191487">
        <w:rPr>
          <w:rFonts w:cs="Arial"/>
          <w:b/>
          <w:szCs w:val="24"/>
        </w:rPr>
        <w:t>Environmental Services – net overspend £12k</w:t>
      </w:r>
    </w:p>
    <w:p w14:paraId="27995D63" w14:textId="77777777" w:rsidR="00960DF8" w:rsidRPr="00191487" w:rsidRDefault="00960DF8" w:rsidP="00960DF8">
      <w:pPr>
        <w:pStyle w:val="ListParagraph"/>
        <w:rPr>
          <w:rFonts w:cs="Arial"/>
          <w:bCs/>
        </w:rPr>
      </w:pPr>
    </w:p>
    <w:p w14:paraId="41A069BE" w14:textId="58BEB7C7" w:rsidR="00960DF8" w:rsidRPr="00191487" w:rsidRDefault="00960DF8" w:rsidP="00960DF8">
      <w:pPr>
        <w:pStyle w:val="ListParagraph"/>
        <w:numPr>
          <w:ilvl w:val="0"/>
          <w:numId w:val="5"/>
        </w:numPr>
        <w:ind w:left="567" w:hanging="567"/>
        <w:jc w:val="both"/>
        <w:rPr>
          <w:rFonts w:cs="Arial"/>
          <w:bCs/>
        </w:rPr>
      </w:pPr>
      <w:r w:rsidRPr="00191487">
        <w:rPr>
          <w:rFonts w:cs="Arial"/>
          <w:bCs/>
        </w:rPr>
        <w:t>Estates &amp; Facilities Management</w:t>
      </w:r>
      <w:r w:rsidR="00191487" w:rsidRPr="00191487">
        <w:rPr>
          <w:rFonts w:cs="Arial"/>
          <w:bCs/>
        </w:rPr>
        <w:t xml:space="preserve"> – net overspend £1.480m</w:t>
      </w:r>
    </w:p>
    <w:p w14:paraId="42058281" w14:textId="77777777" w:rsidR="00960DF8" w:rsidRPr="007A19F0" w:rsidRDefault="00960DF8" w:rsidP="00960DF8">
      <w:pPr>
        <w:pStyle w:val="ListParagraph"/>
        <w:rPr>
          <w:rFonts w:cs="Arial"/>
          <w:bCs/>
        </w:rPr>
      </w:pPr>
    </w:p>
    <w:p w14:paraId="76A7DDF4" w14:textId="0A1BEB57" w:rsidR="007A19F0" w:rsidRPr="007A19F0" w:rsidRDefault="00191487" w:rsidP="00603AAD">
      <w:pPr>
        <w:pStyle w:val="ListParagraph"/>
        <w:numPr>
          <w:ilvl w:val="1"/>
          <w:numId w:val="5"/>
        </w:numPr>
        <w:ind w:left="1701" w:hanging="567"/>
        <w:jc w:val="both"/>
        <w:rPr>
          <w:rFonts w:ascii="Calibri" w:hAnsi="Calibri"/>
          <w:sz w:val="22"/>
        </w:rPr>
      </w:pPr>
      <w:r w:rsidRPr="007A19F0">
        <w:rPr>
          <w:rFonts w:cs="Arial"/>
          <w:b/>
        </w:rPr>
        <w:t xml:space="preserve">Building Repairs &amp; Maintenance </w:t>
      </w:r>
      <w:r w:rsidR="00960DF8" w:rsidRPr="007A19F0">
        <w:rPr>
          <w:rFonts w:cs="Arial"/>
          <w:bCs/>
        </w:rPr>
        <w:t>– net overspend £</w:t>
      </w:r>
      <w:r w:rsidRPr="007A19F0">
        <w:rPr>
          <w:rFonts w:cs="Arial"/>
          <w:bCs/>
        </w:rPr>
        <w:t>538k</w:t>
      </w:r>
      <w:r w:rsidR="00960DF8" w:rsidRPr="007A19F0">
        <w:rPr>
          <w:rFonts w:cs="Arial"/>
          <w:bCs/>
        </w:rPr>
        <w:t xml:space="preserve">. </w:t>
      </w:r>
      <w:r w:rsidR="007A19F0" w:rsidRPr="007A19F0">
        <w:t xml:space="preserve">The building maintenance and repair budget across the corporate portfolio was £1.28m, around £450k of which was spent </w:t>
      </w:r>
      <w:r w:rsidR="007A19F0">
        <w:t xml:space="preserve">on Planned Preventative Maintenance (PPM) to meet statutory compliance requirements. The remaining budget of £830k was used to fund reactive repair works. Due to a large number of properties in the corporate portfolio, the costs of building repairs exceeded the budget </w:t>
      </w:r>
      <w:proofErr w:type="gramStart"/>
      <w:r w:rsidR="007A19F0">
        <w:t>available</w:t>
      </w:r>
      <w:proofErr w:type="gramEnd"/>
      <w:r w:rsidR="007A19F0">
        <w:t xml:space="preserve"> and this resulted in an overspend of £400k. In addition, there was also an unfunded cost </w:t>
      </w:r>
      <w:r w:rsidR="007A19F0">
        <w:lastRenderedPageBreak/>
        <w:t>relating to professional fees of £138k for FM consultancy services and stock condition survey.   </w:t>
      </w:r>
    </w:p>
    <w:p w14:paraId="2F8FA764" w14:textId="77777777" w:rsidR="00191487" w:rsidRPr="00191487" w:rsidRDefault="00191487" w:rsidP="00191487">
      <w:pPr>
        <w:pStyle w:val="ListParagraph"/>
        <w:ind w:left="1701"/>
        <w:jc w:val="both"/>
        <w:rPr>
          <w:rFonts w:cs="Arial"/>
          <w:bCs/>
        </w:rPr>
      </w:pPr>
    </w:p>
    <w:p w14:paraId="58521A67" w14:textId="29E12562" w:rsidR="00191487" w:rsidRPr="00191487" w:rsidRDefault="00191487" w:rsidP="00084443">
      <w:pPr>
        <w:pStyle w:val="ListParagraph"/>
        <w:numPr>
          <w:ilvl w:val="1"/>
          <w:numId w:val="5"/>
        </w:numPr>
        <w:ind w:left="1701" w:hanging="567"/>
        <w:jc w:val="both"/>
        <w:rPr>
          <w:rFonts w:cs="Arial"/>
          <w:bCs/>
        </w:rPr>
      </w:pPr>
      <w:r w:rsidRPr="00191487">
        <w:rPr>
          <w:rFonts w:cs="Arial"/>
          <w:b/>
        </w:rPr>
        <w:t>Depot</w:t>
      </w:r>
      <w:r w:rsidRPr="00191487">
        <w:rPr>
          <w:rFonts w:cs="Arial"/>
          <w:bCs/>
        </w:rPr>
        <w:t xml:space="preserve"> – net overspend £325k. </w:t>
      </w:r>
      <w:r w:rsidR="00960DF8" w:rsidRPr="00191487">
        <w:rPr>
          <w:rFonts w:cs="Arial"/>
          <w:bCs/>
        </w:rPr>
        <w:t xml:space="preserve">This is due to </w:t>
      </w:r>
      <w:r w:rsidRPr="00191487">
        <w:rPr>
          <w:rFonts w:cs="Arial"/>
          <w:bCs/>
        </w:rPr>
        <w:t xml:space="preserve">security </w:t>
      </w:r>
      <w:r w:rsidR="00E136DA" w:rsidRPr="00191487">
        <w:rPr>
          <w:rFonts w:cs="Arial"/>
          <w:bCs/>
        </w:rPr>
        <w:t>costs</w:t>
      </w:r>
      <w:r w:rsidRPr="00191487">
        <w:rPr>
          <w:rFonts w:cs="Arial"/>
          <w:bCs/>
        </w:rPr>
        <w:t xml:space="preserve"> £138k, utility bills £25k, underachievement of rental income £100k and £60k business rates liability.</w:t>
      </w:r>
    </w:p>
    <w:p w14:paraId="6D6D745C" w14:textId="77777777" w:rsidR="00191487" w:rsidRPr="00191487" w:rsidRDefault="00191487" w:rsidP="00191487">
      <w:pPr>
        <w:jc w:val="both"/>
        <w:rPr>
          <w:rFonts w:cs="Arial"/>
          <w:bCs/>
          <w:color w:val="FF0000"/>
        </w:rPr>
      </w:pPr>
    </w:p>
    <w:p w14:paraId="6168B7B5" w14:textId="07A8ABAE" w:rsidR="00960DF8" w:rsidRPr="00191487" w:rsidRDefault="00191487" w:rsidP="00960DF8">
      <w:pPr>
        <w:pStyle w:val="ListParagraph"/>
        <w:numPr>
          <w:ilvl w:val="1"/>
          <w:numId w:val="5"/>
        </w:numPr>
        <w:ind w:left="1701" w:hanging="567"/>
        <w:jc w:val="both"/>
        <w:rPr>
          <w:rFonts w:cs="Arial"/>
          <w:bCs/>
        </w:rPr>
      </w:pPr>
      <w:r w:rsidRPr="00191487">
        <w:rPr>
          <w:rFonts w:cs="Arial"/>
          <w:b/>
        </w:rPr>
        <w:t>Civic Centre</w:t>
      </w:r>
      <w:r w:rsidR="00960DF8" w:rsidRPr="00191487">
        <w:rPr>
          <w:rFonts w:cs="Arial"/>
          <w:bCs/>
        </w:rPr>
        <w:t xml:space="preserve"> – net overspend £</w:t>
      </w:r>
      <w:r w:rsidRPr="00191487">
        <w:rPr>
          <w:rFonts w:cs="Arial"/>
          <w:bCs/>
        </w:rPr>
        <w:t>262</w:t>
      </w:r>
      <w:r w:rsidR="00960DF8" w:rsidRPr="00191487">
        <w:rPr>
          <w:rFonts w:cs="Arial"/>
          <w:bCs/>
        </w:rPr>
        <w:t xml:space="preserve">k. </w:t>
      </w:r>
      <w:r w:rsidRPr="00191487">
        <w:rPr>
          <w:rFonts w:cs="Arial"/>
          <w:bCs/>
        </w:rPr>
        <w:t>This was as a result of £143k overspend on utilities and other running costs and £119k underachievement of rental income.</w:t>
      </w:r>
    </w:p>
    <w:p w14:paraId="095C8B86" w14:textId="77777777" w:rsidR="00960DF8" w:rsidRPr="00960DF8" w:rsidRDefault="00960DF8" w:rsidP="00960DF8">
      <w:pPr>
        <w:pStyle w:val="ListParagraph"/>
        <w:rPr>
          <w:rFonts w:cs="Arial"/>
          <w:bCs/>
          <w:color w:val="FF0000"/>
        </w:rPr>
      </w:pPr>
    </w:p>
    <w:p w14:paraId="3E615551" w14:textId="713C32D0" w:rsidR="00960DF8" w:rsidRPr="009F29B3" w:rsidRDefault="00191487" w:rsidP="009F29B3">
      <w:pPr>
        <w:pStyle w:val="ListParagraph"/>
        <w:numPr>
          <w:ilvl w:val="1"/>
          <w:numId w:val="5"/>
        </w:numPr>
        <w:ind w:left="1701" w:hanging="567"/>
        <w:jc w:val="both"/>
        <w:rPr>
          <w:rFonts w:cs="Arial"/>
          <w:bCs/>
        </w:rPr>
      </w:pPr>
      <w:r w:rsidRPr="00191487">
        <w:rPr>
          <w:rFonts w:cs="Arial"/>
          <w:b/>
        </w:rPr>
        <w:t>S</w:t>
      </w:r>
      <w:r w:rsidR="009F29B3">
        <w:rPr>
          <w:rFonts w:cs="Arial"/>
          <w:b/>
        </w:rPr>
        <w:t>taffing</w:t>
      </w:r>
      <w:r w:rsidRPr="009F29B3">
        <w:rPr>
          <w:rFonts w:cs="Arial"/>
          <w:b/>
        </w:rPr>
        <w:t xml:space="preserve"> Costs</w:t>
      </w:r>
      <w:r w:rsidR="00960DF8" w:rsidRPr="009F29B3">
        <w:rPr>
          <w:rFonts w:cs="Arial"/>
          <w:bCs/>
        </w:rPr>
        <w:t xml:space="preserve"> – net overspend £</w:t>
      </w:r>
      <w:r w:rsidRPr="009F29B3">
        <w:rPr>
          <w:rFonts w:cs="Arial"/>
          <w:bCs/>
        </w:rPr>
        <w:t>325</w:t>
      </w:r>
      <w:r w:rsidR="00960DF8" w:rsidRPr="009F29B3">
        <w:rPr>
          <w:rFonts w:cs="Arial"/>
          <w:bCs/>
        </w:rPr>
        <w:t>k</w:t>
      </w:r>
      <w:r w:rsidRPr="009F29B3">
        <w:rPr>
          <w:rFonts w:cs="Arial"/>
          <w:bCs/>
        </w:rPr>
        <w:t>. This was</w:t>
      </w:r>
      <w:r w:rsidR="00960DF8" w:rsidRPr="009F29B3">
        <w:rPr>
          <w:rFonts w:cs="Arial"/>
          <w:bCs/>
        </w:rPr>
        <w:t xml:space="preserve"> </w:t>
      </w:r>
      <w:r w:rsidRPr="009F29B3">
        <w:rPr>
          <w:rFonts w:cs="Arial"/>
          <w:bCs/>
        </w:rPr>
        <w:t xml:space="preserve">driven by interim staffing arrangements in Facilities Management, Corporate </w:t>
      </w:r>
      <w:proofErr w:type="gramStart"/>
      <w:r w:rsidRPr="009F29B3">
        <w:rPr>
          <w:rFonts w:cs="Arial"/>
          <w:bCs/>
        </w:rPr>
        <w:t>Estates</w:t>
      </w:r>
      <w:proofErr w:type="gramEnd"/>
      <w:r w:rsidRPr="009F29B3">
        <w:rPr>
          <w:rFonts w:cs="Arial"/>
          <w:bCs/>
        </w:rPr>
        <w:t xml:space="preserve"> and the Capital </w:t>
      </w:r>
      <w:r w:rsidR="00E136DA" w:rsidRPr="009F29B3">
        <w:rPr>
          <w:rFonts w:cs="Arial"/>
          <w:bCs/>
        </w:rPr>
        <w:t>Programme</w:t>
      </w:r>
      <w:r w:rsidRPr="009F29B3">
        <w:rPr>
          <w:rFonts w:cs="Arial"/>
          <w:bCs/>
        </w:rPr>
        <w:t xml:space="preserve"> Team.</w:t>
      </w:r>
    </w:p>
    <w:p w14:paraId="3712E2C3" w14:textId="77777777" w:rsidR="00960DF8" w:rsidRPr="00960DF8" w:rsidRDefault="00960DF8" w:rsidP="00960DF8">
      <w:pPr>
        <w:pStyle w:val="ListParagraph"/>
        <w:rPr>
          <w:rFonts w:cs="Arial"/>
          <w:bCs/>
          <w:color w:val="FF0000"/>
        </w:rPr>
      </w:pPr>
    </w:p>
    <w:p w14:paraId="6A92209D" w14:textId="56B45C32" w:rsidR="00960DF8" w:rsidRPr="00191487" w:rsidRDefault="00960DF8" w:rsidP="00960DF8">
      <w:pPr>
        <w:pStyle w:val="ListParagraph"/>
        <w:numPr>
          <w:ilvl w:val="1"/>
          <w:numId w:val="5"/>
        </w:numPr>
        <w:ind w:left="1701" w:hanging="567"/>
        <w:jc w:val="both"/>
        <w:rPr>
          <w:rFonts w:cs="Arial"/>
          <w:bCs/>
        </w:rPr>
      </w:pPr>
      <w:r w:rsidRPr="00191487">
        <w:rPr>
          <w:rFonts w:cs="Arial"/>
          <w:b/>
        </w:rPr>
        <w:t xml:space="preserve">Catering </w:t>
      </w:r>
      <w:r w:rsidRPr="00191487">
        <w:rPr>
          <w:rFonts w:cs="Arial"/>
          <w:bCs/>
        </w:rPr>
        <w:t xml:space="preserve">– net overspend </w:t>
      </w:r>
      <w:r w:rsidR="00191487" w:rsidRPr="00191487">
        <w:rPr>
          <w:rFonts w:cs="Arial"/>
          <w:bCs/>
        </w:rPr>
        <w:t>£30</w:t>
      </w:r>
      <w:r w:rsidRPr="00191487">
        <w:rPr>
          <w:rFonts w:cs="Arial"/>
          <w:bCs/>
        </w:rPr>
        <w:t xml:space="preserve">k. </w:t>
      </w:r>
      <w:r w:rsidR="00191487" w:rsidRPr="00191487">
        <w:rPr>
          <w:rFonts w:cs="Arial"/>
          <w:bCs/>
        </w:rPr>
        <w:t>This is due to under recovery of income in Harrow Meals on Wheels service as a result of fewer meals being supplied to internal clients such as NRCs.</w:t>
      </w:r>
    </w:p>
    <w:p w14:paraId="02FA15B5" w14:textId="77777777" w:rsidR="00960DF8" w:rsidRPr="009F29B3" w:rsidRDefault="00960DF8" w:rsidP="00960DF8">
      <w:pPr>
        <w:pStyle w:val="ListParagraph"/>
        <w:rPr>
          <w:rFonts w:cs="Arial"/>
          <w:bCs/>
        </w:rPr>
      </w:pPr>
    </w:p>
    <w:p w14:paraId="4F1F7F18" w14:textId="6E941A5D" w:rsidR="00960DF8" w:rsidRPr="009F29B3" w:rsidRDefault="009F29B3" w:rsidP="00960DF8">
      <w:pPr>
        <w:pStyle w:val="ListParagraph"/>
        <w:numPr>
          <w:ilvl w:val="0"/>
          <w:numId w:val="5"/>
        </w:numPr>
        <w:ind w:left="567" w:hanging="567"/>
        <w:jc w:val="both"/>
        <w:rPr>
          <w:rFonts w:cs="Arial"/>
          <w:bCs/>
        </w:rPr>
      </w:pPr>
      <w:r w:rsidRPr="009F29B3">
        <w:rPr>
          <w:rFonts w:cs="Arial"/>
          <w:bCs/>
        </w:rPr>
        <w:t>Traffic &amp; Highways Asset Management – net overspend £297k</w:t>
      </w:r>
    </w:p>
    <w:p w14:paraId="065B9A5C" w14:textId="77777777" w:rsidR="00960DF8" w:rsidRPr="009F29B3" w:rsidRDefault="00960DF8" w:rsidP="00960DF8">
      <w:pPr>
        <w:pStyle w:val="ListParagraph"/>
        <w:ind w:left="1701"/>
        <w:jc w:val="both"/>
        <w:rPr>
          <w:rFonts w:cs="Arial"/>
          <w:bCs/>
        </w:rPr>
      </w:pPr>
    </w:p>
    <w:p w14:paraId="0811E6FC" w14:textId="00DB9869" w:rsidR="00960DF8" w:rsidRPr="009F29B3" w:rsidRDefault="009F29B3" w:rsidP="00960DF8">
      <w:pPr>
        <w:pStyle w:val="ListParagraph"/>
        <w:numPr>
          <w:ilvl w:val="1"/>
          <w:numId w:val="5"/>
        </w:numPr>
        <w:ind w:left="1701" w:hanging="567"/>
        <w:jc w:val="both"/>
        <w:rPr>
          <w:rFonts w:cs="Arial"/>
          <w:bCs/>
        </w:rPr>
      </w:pPr>
      <w:r w:rsidRPr="009F29B3">
        <w:rPr>
          <w:rFonts w:cs="Arial"/>
          <w:b/>
        </w:rPr>
        <w:t>Street Lighting</w:t>
      </w:r>
      <w:r w:rsidRPr="009F29B3">
        <w:rPr>
          <w:rFonts w:cs="Arial"/>
          <w:bCs/>
        </w:rPr>
        <w:t xml:space="preserve"> – net overspend £195k. This is due to electricity costs</w:t>
      </w:r>
    </w:p>
    <w:p w14:paraId="598DDE08" w14:textId="77777777" w:rsidR="009F29B3" w:rsidRPr="009F29B3" w:rsidRDefault="009F29B3" w:rsidP="009F29B3">
      <w:pPr>
        <w:pStyle w:val="ListParagraph"/>
        <w:ind w:left="1701"/>
        <w:jc w:val="both"/>
        <w:rPr>
          <w:rFonts w:cs="Arial"/>
          <w:bCs/>
        </w:rPr>
      </w:pPr>
    </w:p>
    <w:p w14:paraId="03729FE8" w14:textId="7698A8BA" w:rsidR="009F29B3" w:rsidRPr="009F29B3" w:rsidRDefault="009F29B3" w:rsidP="00960DF8">
      <w:pPr>
        <w:pStyle w:val="ListParagraph"/>
        <w:numPr>
          <w:ilvl w:val="1"/>
          <w:numId w:val="5"/>
        </w:numPr>
        <w:ind w:left="1701" w:hanging="567"/>
        <w:jc w:val="both"/>
        <w:rPr>
          <w:rFonts w:cs="Arial"/>
          <w:bCs/>
        </w:rPr>
      </w:pPr>
      <w:r w:rsidRPr="009F29B3">
        <w:rPr>
          <w:rFonts w:cs="Arial"/>
          <w:b/>
        </w:rPr>
        <w:t xml:space="preserve">Staffing Costs </w:t>
      </w:r>
      <w:r w:rsidRPr="009F29B3">
        <w:rPr>
          <w:rFonts w:cs="Arial"/>
          <w:bCs/>
        </w:rPr>
        <w:t>– net overspend £102k. This is as a result of a reduction in salary capitalisation due to reduced LIP funding from TfL.</w:t>
      </w:r>
    </w:p>
    <w:p w14:paraId="31D715CF" w14:textId="77777777" w:rsidR="00960DF8" w:rsidRPr="00960DF8" w:rsidRDefault="00960DF8" w:rsidP="00960DF8">
      <w:pPr>
        <w:pStyle w:val="ListParagraph"/>
        <w:rPr>
          <w:rFonts w:asciiTheme="minorHAnsi" w:hAnsiTheme="minorHAnsi" w:cstheme="minorHAnsi"/>
          <w:bCs/>
          <w:color w:val="FF0000"/>
          <w:sz w:val="22"/>
          <w:szCs w:val="22"/>
        </w:rPr>
      </w:pPr>
    </w:p>
    <w:p w14:paraId="1A053224" w14:textId="052D63AE" w:rsidR="00960DF8" w:rsidRPr="009F29B3" w:rsidRDefault="00960DF8" w:rsidP="00960DF8">
      <w:pPr>
        <w:pStyle w:val="ListParagraph"/>
        <w:numPr>
          <w:ilvl w:val="0"/>
          <w:numId w:val="5"/>
        </w:numPr>
        <w:ind w:left="567" w:hanging="567"/>
        <w:jc w:val="both"/>
        <w:rPr>
          <w:rFonts w:cs="Arial"/>
          <w:bCs/>
        </w:rPr>
      </w:pPr>
      <w:r w:rsidRPr="009F29B3">
        <w:rPr>
          <w:rFonts w:cs="Arial"/>
          <w:bCs/>
        </w:rPr>
        <w:t>Divisional Director</w:t>
      </w:r>
      <w:r w:rsidR="009F29B3" w:rsidRPr="009F29B3">
        <w:rPr>
          <w:rFonts w:cs="Arial"/>
          <w:bCs/>
        </w:rPr>
        <w:t xml:space="preserve"> – net underspend £92k</w:t>
      </w:r>
    </w:p>
    <w:p w14:paraId="54614540" w14:textId="77777777" w:rsidR="00960DF8" w:rsidRPr="009F29B3" w:rsidRDefault="00960DF8" w:rsidP="00960DF8">
      <w:pPr>
        <w:pStyle w:val="ListParagraph"/>
        <w:ind w:left="1701"/>
        <w:jc w:val="both"/>
        <w:rPr>
          <w:rFonts w:cs="Arial"/>
          <w:bCs/>
        </w:rPr>
      </w:pPr>
    </w:p>
    <w:p w14:paraId="32AA8E9A" w14:textId="2A8D6CF6" w:rsidR="00960DF8" w:rsidRPr="009F29B3" w:rsidRDefault="00960DF8" w:rsidP="00960DF8">
      <w:pPr>
        <w:pStyle w:val="ListParagraph"/>
        <w:numPr>
          <w:ilvl w:val="1"/>
          <w:numId w:val="5"/>
        </w:numPr>
        <w:ind w:left="1701" w:hanging="567"/>
        <w:jc w:val="both"/>
        <w:rPr>
          <w:rFonts w:cs="Arial"/>
          <w:bCs/>
        </w:rPr>
      </w:pPr>
      <w:r w:rsidRPr="009F29B3">
        <w:rPr>
          <w:rFonts w:cs="Arial"/>
          <w:b/>
        </w:rPr>
        <w:t>Staffing</w:t>
      </w:r>
      <w:r w:rsidR="009F29B3" w:rsidRPr="009F29B3">
        <w:rPr>
          <w:rFonts w:cs="Arial"/>
          <w:b/>
        </w:rPr>
        <w:t xml:space="preserve"> Costs</w:t>
      </w:r>
      <w:r w:rsidRPr="009F29B3">
        <w:rPr>
          <w:rFonts w:cs="Arial"/>
          <w:bCs/>
        </w:rPr>
        <w:t xml:space="preserve"> –</w:t>
      </w:r>
      <w:r w:rsidR="009F29B3">
        <w:rPr>
          <w:rFonts w:cs="Arial"/>
          <w:bCs/>
        </w:rPr>
        <w:t xml:space="preserve"> t</w:t>
      </w:r>
      <w:r w:rsidR="009F29B3" w:rsidRPr="009F29B3">
        <w:rPr>
          <w:rFonts w:cs="Arial"/>
          <w:bCs/>
        </w:rPr>
        <w:t xml:space="preserve">his is due to interim staffing arrangements being in place and one of the director posts remained vacant throughout the year. </w:t>
      </w:r>
    </w:p>
    <w:p w14:paraId="542D886E" w14:textId="77777777" w:rsidR="00960DF8" w:rsidRPr="009F29B3" w:rsidRDefault="00960DF8" w:rsidP="00960DF8">
      <w:pPr>
        <w:jc w:val="both"/>
        <w:rPr>
          <w:rFonts w:asciiTheme="minorHAnsi" w:hAnsiTheme="minorHAnsi" w:cstheme="minorHAnsi"/>
          <w:bCs/>
          <w:sz w:val="22"/>
          <w:szCs w:val="18"/>
        </w:rPr>
      </w:pPr>
    </w:p>
    <w:p w14:paraId="71D7BFAC" w14:textId="37F02EFA" w:rsidR="00960DF8" w:rsidRPr="009F29B3" w:rsidRDefault="00960DF8" w:rsidP="00960DF8">
      <w:pPr>
        <w:pStyle w:val="ListParagraph"/>
        <w:numPr>
          <w:ilvl w:val="0"/>
          <w:numId w:val="5"/>
        </w:numPr>
        <w:ind w:left="567" w:hanging="567"/>
        <w:jc w:val="both"/>
        <w:rPr>
          <w:rFonts w:cs="Arial"/>
          <w:bCs/>
        </w:rPr>
      </w:pPr>
      <w:r w:rsidRPr="009F29B3">
        <w:rPr>
          <w:rFonts w:cs="Arial"/>
          <w:bCs/>
        </w:rPr>
        <w:t>Licensing &amp; Enforcement</w:t>
      </w:r>
      <w:r w:rsidR="009F29B3" w:rsidRPr="009F29B3">
        <w:rPr>
          <w:rFonts w:cs="Arial"/>
          <w:bCs/>
        </w:rPr>
        <w:t xml:space="preserve"> – net underspend £117k</w:t>
      </w:r>
    </w:p>
    <w:p w14:paraId="14E00BFC" w14:textId="77777777" w:rsidR="009F29B3" w:rsidRPr="009F29B3" w:rsidRDefault="009F29B3" w:rsidP="009F29B3">
      <w:pPr>
        <w:pStyle w:val="ListParagraph"/>
        <w:ind w:left="567"/>
        <w:jc w:val="both"/>
        <w:rPr>
          <w:rFonts w:cs="Arial"/>
          <w:bCs/>
        </w:rPr>
      </w:pPr>
    </w:p>
    <w:p w14:paraId="612C432C" w14:textId="49523EDD" w:rsidR="00960DF8" w:rsidRPr="009F29B3" w:rsidRDefault="009F29B3" w:rsidP="00960DF8">
      <w:pPr>
        <w:pStyle w:val="ListParagraph"/>
        <w:numPr>
          <w:ilvl w:val="1"/>
          <w:numId w:val="5"/>
        </w:numPr>
        <w:ind w:left="1701" w:hanging="567"/>
        <w:jc w:val="both"/>
        <w:rPr>
          <w:rFonts w:cs="Arial"/>
          <w:bCs/>
        </w:rPr>
      </w:pPr>
      <w:r w:rsidRPr="009F29B3">
        <w:rPr>
          <w:rFonts w:cs="Arial"/>
          <w:b/>
        </w:rPr>
        <w:t>Staffing Costs</w:t>
      </w:r>
      <w:r w:rsidR="00960DF8" w:rsidRPr="009F29B3">
        <w:rPr>
          <w:rFonts w:cs="Arial"/>
          <w:bCs/>
        </w:rPr>
        <w:t xml:space="preserve"> – </w:t>
      </w:r>
      <w:r w:rsidRPr="009F29B3">
        <w:rPr>
          <w:rFonts w:cs="Arial"/>
          <w:bCs/>
        </w:rPr>
        <w:t>several enforcement posts across the service remained vacant over the course of the year.</w:t>
      </w:r>
      <w:r w:rsidR="00960DF8" w:rsidRPr="009F29B3">
        <w:rPr>
          <w:rFonts w:cs="Arial"/>
          <w:bCs/>
        </w:rPr>
        <w:t xml:space="preserve"> </w:t>
      </w:r>
    </w:p>
    <w:p w14:paraId="7A19CD9E" w14:textId="77777777" w:rsidR="00960DF8" w:rsidRPr="00960DF8" w:rsidRDefault="00960DF8" w:rsidP="00960DF8">
      <w:pPr>
        <w:pStyle w:val="ListParagraph"/>
        <w:jc w:val="both"/>
        <w:rPr>
          <w:rFonts w:asciiTheme="minorHAnsi" w:hAnsiTheme="minorHAnsi" w:cstheme="minorHAnsi"/>
          <w:bCs/>
          <w:color w:val="FF0000"/>
          <w:sz w:val="22"/>
          <w:szCs w:val="18"/>
        </w:rPr>
      </w:pPr>
    </w:p>
    <w:p w14:paraId="4AF2100C" w14:textId="3D356488" w:rsidR="00960DF8" w:rsidRPr="009F29B3" w:rsidRDefault="00960DF8" w:rsidP="00960DF8">
      <w:pPr>
        <w:pStyle w:val="ListParagraph"/>
        <w:numPr>
          <w:ilvl w:val="0"/>
          <w:numId w:val="5"/>
        </w:numPr>
        <w:ind w:left="567" w:hanging="567"/>
        <w:jc w:val="both"/>
        <w:rPr>
          <w:rFonts w:cs="Arial"/>
          <w:bCs/>
        </w:rPr>
      </w:pPr>
      <w:r w:rsidRPr="009F29B3">
        <w:rPr>
          <w:rFonts w:cs="Arial"/>
          <w:bCs/>
        </w:rPr>
        <w:t>Strategy, Development &amp; Performance</w:t>
      </w:r>
      <w:r w:rsidR="009F29B3">
        <w:rPr>
          <w:rFonts w:cs="Arial"/>
          <w:bCs/>
        </w:rPr>
        <w:t xml:space="preserve"> – net overspend £372k</w:t>
      </w:r>
    </w:p>
    <w:p w14:paraId="3C97D0ED" w14:textId="77777777" w:rsidR="00B07CC8" w:rsidRPr="00B07CC8" w:rsidRDefault="00B07CC8" w:rsidP="00B07CC8">
      <w:pPr>
        <w:pStyle w:val="ListParagraph"/>
        <w:ind w:left="1701"/>
        <w:jc w:val="both"/>
        <w:rPr>
          <w:rFonts w:cs="Arial"/>
          <w:bCs/>
        </w:rPr>
      </w:pPr>
    </w:p>
    <w:p w14:paraId="1A95CC71" w14:textId="2F431C0C" w:rsidR="00960DF8" w:rsidRPr="009F29B3" w:rsidRDefault="00B07CC8" w:rsidP="00960DF8">
      <w:pPr>
        <w:pStyle w:val="ListParagraph"/>
        <w:numPr>
          <w:ilvl w:val="1"/>
          <w:numId w:val="5"/>
        </w:numPr>
        <w:ind w:left="1701" w:hanging="567"/>
        <w:jc w:val="both"/>
        <w:rPr>
          <w:rFonts w:cs="Arial"/>
          <w:bCs/>
        </w:rPr>
      </w:pPr>
      <w:r>
        <w:rPr>
          <w:rFonts w:cs="Arial"/>
          <w:b/>
        </w:rPr>
        <w:t>P</w:t>
      </w:r>
      <w:r w:rsidR="009F29B3" w:rsidRPr="009F29B3">
        <w:rPr>
          <w:rFonts w:cs="Arial"/>
          <w:b/>
        </w:rPr>
        <w:t>ublic Mortuary</w:t>
      </w:r>
      <w:r w:rsidR="00960DF8" w:rsidRPr="009F29B3">
        <w:rPr>
          <w:rFonts w:cs="Arial"/>
          <w:bCs/>
        </w:rPr>
        <w:t xml:space="preserve"> – net </w:t>
      </w:r>
      <w:r w:rsidR="009F29B3" w:rsidRPr="009F29B3">
        <w:rPr>
          <w:rFonts w:cs="Arial"/>
          <w:bCs/>
        </w:rPr>
        <w:t>overspend £541k</w:t>
      </w:r>
      <w:r w:rsidR="00960DF8" w:rsidRPr="009F29B3">
        <w:rPr>
          <w:rFonts w:cs="Arial"/>
          <w:bCs/>
        </w:rPr>
        <w:t xml:space="preserve">. </w:t>
      </w:r>
      <w:r w:rsidR="009F29B3" w:rsidRPr="009F29B3">
        <w:rPr>
          <w:rFonts w:cs="Arial"/>
          <w:bCs/>
        </w:rPr>
        <w:t>This is due to additional running costs of £41k of the shared facility</w:t>
      </w:r>
      <w:r w:rsidR="00960DF8" w:rsidRPr="009F29B3">
        <w:rPr>
          <w:rFonts w:cs="Arial"/>
          <w:bCs/>
        </w:rPr>
        <w:t>.</w:t>
      </w:r>
      <w:r w:rsidR="009F29B3" w:rsidRPr="009F29B3">
        <w:rPr>
          <w:rFonts w:cs="Arial"/>
          <w:bCs/>
        </w:rPr>
        <w:t xml:space="preserve"> The outturn also included a sum set aside for the proposed expansion of the mortuary facility at Northwick Park Hospital, for which Harrow’s share is </w:t>
      </w:r>
      <w:proofErr w:type="spellStart"/>
      <w:r w:rsidR="009F29B3" w:rsidRPr="009F29B3">
        <w:rPr>
          <w:rFonts w:cs="Arial"/>
          <w:bCs/>
        </w:rPr>
        <w:t>estamed</w:t>
      </w:r>
      <w:proofErr w:type="spellEnd"/>
      <w:r w:rsidR="009F29B3" w:rsidRPr="009F29B3">
        <w:rPr>
          <w:rFonts w:cs="Arial"/>
          <w:bCs/>
        </w:rPr>
        <w:t xml:space="preserve"> at £500k.</w:t>
      </w:r>
    </w:p>
    <w:p w14:paraId="7FD0D35A" w14:textId="77777777" w:rsidR="00960DF8" w:rsidRPr="009F29B3" w:rsidRDefault="00960DF8" w:rsidP="00960DF8">
      <w:pPr>
        <w:pStyle w:val="ListParagraph"/>
        <w:ind w:left="1701"/>
        <w:jc w:val="both"/>
        <w:rPr>
          <w:rFonts w:cs="Arial"/>
          <w:bCs/>
        </w:rPr>
      </w:pPr>
    </w:p>
    <w:p w14:paraId="09492EC4" w14:textId="1FB0FED7" w:rsidR="00960DF8" w:rsidRPr="00C8102B" w:rsidRDefault="009F29B3" w:rsidP="00960DF8">
      <w:pPr>
        <w:pStyle w:val="ListParagraph"/>
        <w:numPr>
          <w:ilvl w:val="1"/>
          <w:numId w:val="5"/>
        </w:numPr>
        <w:ind w:left="1701" w:hanging="567"/>
        <w:jc w:val="both"/>
        <w:rPr>
          <w:rFonts w:cs="Arial"/>
          <w:bCs/>
        </w:rPr>
      </w:pPr>
      <w:r w:rsidRPr="009F29B3">
        <w:rPr>
          <w:rFonts w:cs="Arial"/>
          <w:b/>
        </w:rPr>
        <w:t>Staffing Costs</w:t>
      </w:r>
      <w:r w:rsidR="00960DF8" w:rsidRPr="009F29B3">
        <w:rPr>
          <w:rFonts w:cs="Arial"/>
          <w:bCs/>
        </w:rPr>
        <w:t xml:space="preserve"> – net underspend £</w:t>
      </w:r>
      <w:r w:rsidRPr="009F29B3">
        <w:rPr>
          <w:rFonts w:cs="Arial"/>
          <w:bCs/>
        </w:rPr>
        <w:t>105</w:t>
      </w:r>
      <w:r w:rsidR="00960DF8" w:rsidRPr="009F29B3">
        <w:rPr>
          <w:rFonts w:cs="Arial"/>
          <w:bCs/>
        </w:rPr>
        <w:t xml:space="preserve">k. </w:t>
      </w:r>
      <w:r w:rsidRPr="009F29B3">
        <w:rPr>
          <w:rFonts w:cs="Arial"/>
          <w:bCs/>
        </w:rPr>
        <w:t xml:space="preserve">This is due to vacant posts </w:t>
      </w:r>
      <w:r w:rsidRPr="00C8102B">
        <w:rPr>
          <w:rFonts w:cs="Arial"/>
          <w:bCs/>
        </w:rPr>
        <w:t>across the service.</w:t>
      </w:r>
    </w:p>
    <w:p w14:paraId="5C3E849B" w14:textId="74116BDC" w:rsidR="00960DF8" w:rsidRPr="00C8102B" w:rsidRDefault="009F29B3" w:rsidP="00960DF8">
      <w:pPr>
        <w:pStyle w:val="ListParagraph"/>
        <w:numPr>
          <w:ilvl w:val="1"/>
          <w:numId w:val="5"/>
        </w:numPr>
        <w:ind w:left="1701" w:hanging="567"/>
        <w:jc w:val="both"/>
        <w:rPr>
          <w:rFonts w:cs="Arial"/>
          <w:bCs/>
        </w:rPr>
      </w:pPr>
      <w:r w:rsidRPr="00C8102B">
        <w:rPr>
          <w:rFonts w:cs="Arial"/>
          <w:b/>
        </w:rPr>
        <w:t>Ward Priority Fund</w:t>
      </w:r>
      <w:r w:rsidR="00960DF8" w:rsidRPr="00C8102B">
        <w:rPr>
          <w:rFonts w:cs="Arial"/>
          <w:bCs/>
        </w:rPr>
        <w:t xml:space="preserve"> – net </w:t>
      </w:r>
      <w:r w:rsidRPr="00C8102B">
        <w:rPr>
          <w:rFonts w:cs="Arial"/>
          <w:bCs/>
        </w:rPr>
        <w:t>underspend £63k</w:t>
      </w:r>
      <w:r w:rsidR="00960DF8" w:rsidRPr="00C8102B">
        <w:rPr>
          <w:rFonts w:cs="Arial"/>
          <w:bCs/>
        </w:rPr>
        <w:t>.</w:t>
      </w:r>
    </w:p>
    <w:p w14:paraId="65720C7E" w14:textId="77777777" w:rsidR="00960DF8" w:rsidRPr="00C8102B" w:rsidRDefault="00960DF8" w:rsidP="00960DF8">
      <w:pPr>
        <w:pStyle w:val="ListParagraph"/>
        <w:jc w:val="both"/>
        <w:rPr>
          <w:rFonts w:asciiTheme="minorHAnsi" w:hAnsiTheme="minorHAnsi" w:cstheme="minorHAnsi"/>
          <w:bCs/>
          <w:sz w:val="22"/>
          <w:szCs w:val="18"/>
        </w:rPr>
      </w:pPr>
    </w:p>
    <w:p w14:paraId="635623F9" w14:textId="17B1B0A5" w:rsidR="00960DF8" w:rsidRPr="00C8102B" w:rsidRDefault="00960DF8" w:rsidP="00960DF8">
      <w:pPr>
        <w:pStyle w:val="ListParagraph"/>
        <w:numPr>
          <w:ilvl w:val="0"/>
          <w:numId w:val="5"/>
        </w:numPr>
        <w:ind w:left="567" w:hanging="567"/>
        <w:jc w:val="both"/>
        <w:rPr>
          <w:rFonts w:cs="Arial"/>
          <w:bCs/>
        </w:rPr>
      </w:pPr>
      <w:r w:rsidRPr="00C8102B">
        <w:rPr>
          <w:rFonts w:cs="Arial"/>
          <w:bCs/>
        </w:rPr>
        <w:t>Transport and Environmental Operations</w:t>
      </w:r>
      <w:r w:rsidR="009F29B3" w:rsidRPr="00C8102B">
        <w:rPr>
          <w:rFonts w:cs="Arial"/>
          <w:bCs/>
        </w:rPr>
        <w:t xml:space="preserve"> – net underspend £873k</w:t>
      </w:r>
    </w:p>
    <w:p w14:paraId="7AAEFE5D" w14:textId="77777777" w:rsidR="00960DF8" w:rsidRPr="00C8102B" w:rsidRDefault="00960DF8" w:rsidP="00960DF8">
      <w:pPr>
        <w:pStyle w:val="ListParagraph"/>
        <w:ind w:left="2160"/>
        <w:jc w:val="both"/>
        <w:rPr>
          <w:rFonts w:cs="Arial"/>
          <w:bCs/>
        </w:rPr>
      </w:pPr>
    </w:p>
    <w:p w14:paraId="0DFA2037" w14:textId="3955C58E" w:rsidR="00960DF8" w:rsidRPr="00C8102B" w:rsidRDefault="009F29B3" w:rsidP="00960DF8">
      <w:pPr>
        <w:pStyle w:val="ListParagraph"/>
        <w:numPr>
          <w:ilvl w:val="1"/>
          <w:numId w:val="5"/>
        </w:numPr>
        <w:ind w:left="1701" w:hanging="567"/>
        <w:jc w:val="both"/>
        <w:rPr>
          <w:rFonts w:cs="Arial"/>
          <w:bCs/>
        </w:rPr>
      </w:pPr>
      <w:r w:rsidRPr="00C8102B">
        <w:rPr>
          <w:rFonts w:cs="Arial"/>
          <w:b/>
        </w:rPr>
        <w:t>Waste Disposal</w:t>
      </w:r>
      <w:r w:rsidRPr="00C8102B">
        <w:rPr>
          <w:rFonts w:cs="Arial"/>
          <w:bCs/>
        </w:rPr>
        <w:t xml:space="preserve"> – net underspend £1.073m. This was mainly driven by improved market conditions for dry recyclables, which reduce the net dry recycling waste disposal costs. The residual waste tonnage also showed signs of being stabilized during 2021-22.</w:t>
      </w:r>
    </w:p>
    <w:p w14:paraId="02741037" w14:textId="77777777" w:rsidR="009D389A" w:rsidRPr="00C8102B" w:rsidRDefault="009D389A" w:rsidP="009D389A">
      <w:pPr>
        <w:pStyle w:val="ListParagraph"/>
        <w:ind w:left="1701"/>
        <w:jc w:val="both"/>
        <w:rPr>
          <w:rFonts w:cs="Arial"/>
          <w:bCs/>
        </w:rPr>
      </w:pPr>
    </w:p>
    <w:p w14:paraId="2A88AD08" w14:textId="5A301A76" w:rsidR="009F29B3" w:rsidRPr="00C8102B" w:rsidRDefault="009D389A" w:rsidP="00960DF8">
      <w:pPr>
        <w:pStyle w:val="ListParagraph"/>
        <w:numPr>
          <w:ilvl w:val="1"/>
          <w:numId w:val="5"/>
        </w:numPr>
        <w:ind w:left="1701" w:hanging="567"/>
        <w:jc w:val="both"/>
        <w:rPr>
          <w:rFonts w:cs="Arial"/>
          <w:bCs/>
        </w:rPr>
      </w:pPr>
      <w:r w:rsidRPr="00C8102B">
        <w:rPr>
          <w:rFonts w:cs="Arial"/>
          <w:b/>
        </w:rPr>
        <w:t xml:space="preserve">Income </w:t>
      </w:r>
      <w:r w:rsidRPr="00C8102B">
        <w:rPr>
          <w:rFonts w:cs="Arial"/>
          <w:bCs/>
        </w:rPr>
        <w:t>– net underspend £137k. This is due to overachievement of income from a range of income generating activities within the service.</w:t>
      </w:r>
    </w:p>
    <w:p w14:paraId="19F7BC9D" w14:textId="77777777" w:rsidR="009D389A" w:rsidRPr="00C8102B" w:rsidRDefault="009D389A" w:rsidP="009D389A">
      <w:pPr>
        <w:pStyle w:val="ListParagraph"/>
        <w:ind w:left="1701"/>
        <w:jc w:val="both"/>
        <w:rPr>
          <w:rFonts w:cs="Arial"/>
          <w:bCs/>
        </w:rPr>
      </w:pPr>
    </w:p>
    <w:p w14:paraId="48D1A134" w14:textId="2C443A4D" w:rsidR="009D389A" w:rsidRPr="00C8102B" w:rsidRDefault="009D389A" w:rsidP="00960DF8">
      <w:pPr>
        <w:pStyle w:val="ListParagraph"/>
        <w:numPr>
          <w:ilvl w:val="1"/>
          <w:numId w:val="5"/>
        </w:numPr>
        <w:ind w:left="1701" w:hanging="567"/>
        <w:jc w:val="both"/>
        <w:rPr>
          <w:rFonts w:cs="Arial"/>
          <w:bCs/>
        </w:rPr>
      </w:pPr>
      <w:r w:rsidRPr="00C8102B">
        <w:rPr>
          <w:rFonts w:cs="Arial"/>
          <w:b/>
        </w:rPr>
        <w:t xml:space="preserve">Staffing Costs </w:t>
      </w:r>
      <w:r w:rsidRPr="00C8102B">
        <w:rPr>
          <w:rFonts w:cs="Arial"/>
          <w:bCs/>
        </w:rPr>
        <w:t xml:space="preserve">– net underspend £127k. This was as a </w:t>
      </w:r>
      <w:r w:rsidR="00E136DA" w:rsidRPr="00C8102B">
        <w:rPr>
          <w:rFonts w:cs="Arial"/>
          <w:bCs/>
        </w:rPr>
        <w:t>result</w:t>
      </w:r>
      <w:r w:rsidRPr="00C8102B">
        <w:rPr>
          <w:rFonts w:cs="Arial"/>
          <w:bCs/>
        </w:rPr>
        <w:t xml:space="preserve"> of a reduction in the reliance of agency staff, in particular for drivers.</w:t>
      </w:r>
    </w:p>
    <w:p w14:paraId="13F3F928" w14:textId="77777777" w:rsidR="009D389A" w:rsidRPr="00C8102B" w:rsidRDefault="009D389A" w:rsidP="009D389A">
      <w:pPr>
        <w:pStyle w:val="ListParagraph"/>
        <w:rPr>
          <w:rFonts w:cs="Arial"/>
          <w:bCs/>
        </w:rPr>
      </w:pPr>
    </w:p>
    <w:p w14:paraId="65C6BAAA" w14:textId="0750C709" w:rsidR="009D389A" w:rsidRPr="00C8102B" w:rsidRDefault="009D389A" w:rsidP="00960DF8">
      <w:pPr>
        <w:pStyle w:val="ListParagraph"/>
        <w:numPr>
          <w:ilvl w:val="1"/>
          <w:numId w:val="5"/>
        </w:numPr>
        <w:ind w:left="1701" w:hanging="567"/>
        <w:jc w:val="both"/>
        <w:rPr>
          <w:rFonts w:cs="Arial"/>
          <w:bCs/>
        </w:rPr>
      </w:pPr>
      <w:r w:rsidRPr="00C8102B">
        <w:rPr>
          <w:rFonts w:cs="Arial"/>
          <w:b/>
        </w:rPr>
        <w:t>Cemetery</w:t>
      </w:r>
      <w:r w:rsidRPr="00C8102B">
        <w:rPr>
          <w:rFonts w:cs="Arial"/>
          <w:bCs/>
        </w:rPr>
        <w:t xml:space="preserve"> – net overspend £164k. The service level agreement in place with the London Borough of Brent for the management of </w:t>
      </w:r>
      <w:proofErr w:type="spellStart"/>
      <w:r w:rsidRPr="00C8102B">
        <w:rPr>
          <w:rFonts w:cs="Arial"/>
          <w:bCs/>
        </w:rPr>
        <w:t>Carpenders</w:t>
      </w:r>
      <w:proofErr w:type="spellEnd"/>
      <w:r w:rsidRPr="00C8102B">
        <w:rPr>
          <w:rFonts w:cs="Arial"/>
          <w:bCs/>
        </w:rPr>
        <w:t xml:space="preserve"> Park Cemetery overspent. This was due to an increase in the annual management fee and other payments.</w:t>
      </w:r>
    </w:p>
    <w:p w14:paraId="6145F655" w14:textId="77777777" w:rsidR="009D389A" w:rsidRPr="00C8102B" w:rsidRDefault="009D389A" w:rsidP="009D389A">
      <w:pPr>
        <w:pStyle w:val="ListParagraph"/>
        <w:rPr>
          <w:rFonts w:cs="Arial"/>
          <w:bCs/>
        </w:rPr>
      </w:pPr>
    </w:p>
    <w:p w14:paraId="40F06455" w14:textId="7F2D0B13" w:rsidR="009D389A" w:rsidRPr="00C8102B" w:rsidRDefault="009D389A" w:rsidP="00960DF8">
      <w:pPr>
        <w:pStyle w:val="ListParagraph"/>
        <w:numPr>
          <w:ilvl w:val="1"/>
          <w:numId w:val="5"/>
        </w:numPr>
        <w:ind w:left="1701" w:hanging="567"/>
        <w:jc w:val="both"/>
        <w:rPr>
          <w:rFonts w:cs="Arial"/>
          <w:bCs/>
        </w:rPr>
      </w:pPr>
      <w:r w:rsidRPr="00C8102B">
        <w:rPr>
          <w:rFonts w:cs="Arial"/>
          <w:b/>
        </w:rPr>
        <w:t>Vehicle Sinking Fund</w:t>
      </w:r>
      <w:r w:rsidRPr="00C8102B">
        <w:rPr>
          <w:rFonts w:cs="Arial"/>
          <w:bCs/>
        </w:rPr>
        <w:t xml:space="preserve"> - net overspend £330k. This is a </w:t>
      </w:r>
      <w:r w:rsidR="00E136DA" w:rsidRPr="00C8102B">
        <w:rPr>
          <w:rFonts w:cs="Arial"/>
          <w:bCs/>
        </w:rPr>
        <w:t>contribution to</w:t>
      </w:r>
      <w:r w:rsidRPr="00C8102B">
        <w:rPr>
          <w:rFonts w:cs="Arial"/>
          <w:bCs/>
        </w:rPr>
        <w:t xml:space="preserve"> the Vehicle Sinking fund which will be used to smooth the additional cost pressure of vehicle maintenance costs over the remaining life of the contract.</w:t>
      </w:r>
    </w:p>
    <w:p w14:paraId="19A7FF97" w14:textId="77777777" w:rsidR="00C8102B" w:rsidRPr="00C8102B" w:rsidRDefault="00C8102B" w:rsidP="00C8102B">
      <w:pPr>
        <w:pStyle w:val="ListParagraph"/>
        <w:rPr>
          <w:rFonts w:cs="Arial"/>
          <w:bCs/>
        </w:rPr>
      </w:pPr>
    </w:p>
    <w:p w14:paraId="7E0ED255" w14:textId="5CF62BAF" w:rsidR="00C8102B" w:rsidRPr="00C8102B" w:rsidRDefault="00C8102B" w:rsidP="00960DF8">
      <w:pPr>
        <w:pStyle w:val="ListParagraph"/>
        <w:numPr>
          <w:ilvl w:val="1"/>
          <w:numId w:val="5"/>
        </w:numPr>
        <w:ind w:left="1701" w:hanging="567"/>
        <w:jc w:val="both"/>
        <w:rPr>
          <w:rFonts w:cs="Arial"/>
          <w:bCs/>
        </w:rPr>
      </w:pPr>
      <w:r w:rsidRPr="00C8102B">
        <w:rPr>
          <w:rFonts w:cs="Arial"/>
          <w:b/>
        </w:rPr>
        <w:t>Maintenance</w:t>
      </w:r>
      <w:r w:rsidRPr="00C8102B">
        <w:rPr>
          <w:rFonts w:cs="Arial"/>
          <w:bCs/>
        </w:rPr>
        <w:t xml:space="preserve"> – net underspend £30k. This is due to a reduction in spend on equipment and purchases.</w:t>
      </w:r>
    </w:p>
    <w:p w14:paraId="4FB28744" w14:textId="38D39287" w:rsidR="00960DF8" w:rsidRPr="00C8102B" w:rsidRDefault="00960DF8" w:rsidP="00960DF8">
      <w:pPr>
        <w:jc w:val="both"/>
        <w:rPr>
          <w:rFonts w:cs="Arial"/>
          <w:bCs/>
        </w:rPr>
      </w:pPr>
    </w:p>
    <w:p w14:paraId="1CB9A54C" w14:textId="292973EA" w:rsidR="00C573AB" w:rsidRPr="00C8102B" w:rsidRDefault="00C573AB" w:rsidP="00C573AB">
      <w:pPr>
        <w:pStyle w:val="ListParagraph"/>
        <w:numPr>
          <w:ilvl w:val="0"/>
          <w:numId w:val="5"/>
        </w:numPr>
        <w:ind w:left="567" w:hanging="567"/>
        <w:jc w:val="both"/>
        <w:rPr>
          <w:rFonts w:cs="Arial"/>
          <w:bCs/>
        </w:rPr>
      </w:pPr>
      <w:r w:rsidRPr="00C8102B">
        <w:rPr>
          <w:rFonts w:cs="Arial"/>
          <w:bCs/>
        </w:rPr>
        <w:t>Parking and Network Management – net underspend £1.056m</w:t>
      </w:r>
    </w:p>
    <w:p w14:paraId="3650A20A" w14:textId="77777777" w:rsidR="00C573AB" w:rsidRPr="00C8102B" w:rsidRDefault="00C573AB" w:rsidP="00C573AB">
      <w:pPr>
        <w:ind w:left="3600"/>
        <w:jc w:val="both"/>
        <w:rPr>
          <w:rFonts w:cs="Arial"/>
          <w:bCs/>
        </w:rPr>
      </w:pPr>
    </w:p>
    <w:p w14:paraId="0508144E" w14:textId="27B39E37" w:rsidR="00C573AB" w:rsidRPr="00C8102B" w:rsidRDefault="00C573AB" w:rsidP="00C573AB">
      <w:pPr>
        <w:pStyle w:val="ListParagraph"/>
        <w:numPr>
          <w:ilvl w:val="1"/>
          <w:numId w:val="5"/>
        </w:numPr>
        <w:ind w:left="1701" w:hanging="567"/>
        <w:jc w:val="both"/>
        <w:rPr>
          <w:rFonts w:cs="Arial"/>
          <w:bCs/>
        </w:rPr>
      </w:pPr>
      <w:r w:rsidRPr="00C8102B">
        <w:rPr>
          <w:rFonts w:cs="Arial"/>
          <w:b/>
        </w:rPr>
        <w:t>Network Management Income</w:t>
      </w:r>
      <w:r w:rsidRPr="00C8102B">
        <w:rPr>
          <w:rFonts w:cs="Arial"/>
          <w:bCs/>
        </w:rPr>
        <w:t xml:space="preserve"> – net underspend £639k. This is due to an overachievement of income mainly driven by the recoupment of historical payments</w:t>
      </w:r>
    </w:p>
    <w:p w14:paraId="479536EE" w14:textId="77777777" w:rsidR="00505E6A" w:rsidRPr="00C8102B" w:rsidRDefault="00505E6A" w:rsidP="00505E6A">
      <w:pPr>
        <w:pStyle w:val="ListParagraph"/>
        <w:ind w:left="1701"/>
        <w:jc w:val="both"/>
        <w:rPr>
          <w:rFonts w:cs="Arial"/>
          <w:bCs/>
        </w:rPr>
      </w:pPr>
    </w:p>
    <w:p w14:paraId="30C96EFC" w14:textId="11821CBD" w:rsidR="00C573AB" w:rsidRPr="00C8102B" w:rsidRDefault="00C573AB" w:rsidP="00C573AB">
      <w:pPr>
        <w:pStyle w:val="ListParagraph"/>
        <w:numPr>
          <w:ilvl w:val="1"/>
          <w:numId w:val="5"/>
        </w:numPr>
        <w:ind w:left="1701" w:hanging="567"/>
        <w:jc w:val="both"/>
        <w:rPr>
          <w:rFonts w:cs="Arial"/>
          <w:bCs/>
        </w:rPr>
      </w:pPr>
      <w:r w:rsidRPr="00C8102B">
        <w:rPr>
          <w:rFonts w:cs="Arial"/>
          <w:b/>
        </w:rPr>
        <w:t>Parking Services</w:t>
      </w:r>
      <w:r w:rsidRPr="00C8102B">
        <w:rPr>
          <w:rFonts w:cs="Arial"/>
          <w:bCs/>
        </w:rPr>
        <w:t xml:space="preserve"> – net </w:t>
      </w:r>
      <w:r w:rsidR="00505E6A" w:rsidRPr="00C8102B">
        <w:rPr>
          <w:rFonts w:cs="Arial"/>
          <w:bCs/>
        </w:rPr>
        <w:t>underspend £116k. This is due to receiving more income than budgeted for from residents parking permits</w:t>
      </w:r>
    </w:p>
    <w:p w14:paraId="58B43A5B" w14:textId="77777777" w:rsidR="00505E6A" w:rsidRPr="00C8102B" w:rsidRDefault="00505E6A" w:rsidP="00505E6A">
      <w:pPr>
        <w:pStyle w:val="ListParagraph"/>
        <w:ind w:left="1701"/>
        <w:jc w:val="both"/>
        <w:rPr>
          <w:rFonts w:cs="Arial"/>
          <w:bCs/>
        </w:rPr>
      </w:pPr>
    </w:p>
    <w:p w14:paraId="174168C6" w14:textId="6AF6CDCC" w:rsidR="00505E6A" w:rsidRPr="00C8102B" w:rsidRDefault="00505E6A" w:rsidP="00C573AB">
      <w:pPr>
        <w:pStyle w:val="ListParagraph"/>
        <w:numPr>
          <w:ilvl w:val="1"/>
          <w:numId w:val="5"/>
        </w:numPr>
        <w:ind w:left="1701" w:hanging="567"/>
        <w:jc w:val="both"/>
        <w:rPr>
          <w:rFonts w:cs="Arial"/>
          <w:bCs/>
        </w:rPr>
      </w:pPr>
      <w:r w:rsidRPr="00C8102B">
        <w:rPr>
          <w:rFonts w:cs="Arial"/>
          <w:b/>
        </w:rPr>
        <w:t xml:space="preserve">Staffing Costs </w:t>
      </w:r>
      <w:r w:rsidRPr="00C8102B">
        <w:rPr>
          <w:rFonts w:cs="Arial"/>
          <w:bCs/>
        </w:rPr>
        <w:t>– net underspend £250k. This is due to vacant posts across the service area.</w:t>
      </w:r>
    </w:p>
    <w:p w14:paraId="13DE833A" w14:textId="77777777" w:rsidR="00C8102B" w:rsidRPr="00C8102B" w:rsidRDefault="00C8102B" w:rsidP="00C8102B">
      <w:pPr>
        <w:pStyle w:val="ListParagraph"/>
        <w:rPr>
          <w:rFonts w:cs="Arial"/>
          <w:bCs/>
        </w:rPr>
      </w:pPr>
    </w:p>
    <w:p w14:paraId="1941FEF4" w14:textId="6756C96E" w:rsidR="00C8102B" w:rsidRPr="00C8102B" w:rsidRDefault="00C8102B" w:rsidP="00C573AB">
      <w:pPr>
        <w:pStyle w:val="ListParagraph"/>
        <w:numPr>
          <w:ilvl w:val="1"/>
          <w:numId w:val="5"/>
        </w:numPr>
        <w:ind w:left="1701" w:hanging="567"/>
        <w:jc w:val="both"/>
        <w:rPr>
          <w:rFonts w:cs="Arial"/>
          <w:bCs/>
        </w:rPr>
      </w:pPr>
      <w:r w:rsidRPr="00C8102B">
        <w:rPr>
          <w:rFonts w:cs="Arial"/>
          <w:b/>
        </w:rPr>
        <w:t>Other variances</w:t>
      </w:r>
      <w:r w:rsidRPr="00C8102B">
        <w:rPr>
          <w:rFonts w:cs="Arial"/>
          <w:bCs/>
        </w:rPr>
        <w:t xml:space="preserve"> – net underspend £51k. These items included maintenance spend and running costs.</w:t>
      </w:r>
    </w:p>
    <w:p w14:paraId="27A915E4" w14:textId="77777777" w:rsidR="00C573AB" w:rsidRPr="00C8102B" w:rsidRDefault="00C573AB" w:rsidP="00960DF8">
      <w:pPr>
        <w:jc w:val="both"/>
        <w:rPr>
          <w:rFonts w:cs="Arial"/>
          <w:bCs/>
        </w:rPr>
      </w:pPr>
    </w:p>
    <w:p w14:paraId="64B0FF0B" w14:textId="2ADE7153" w:rsidR="00960DF8" w:rsidRPr="00C573AB" w:rsidRDefault="00960DF8" w:rsidP="00960DF8">
      <w:pPr>
        <w:pStyle w:val="ListParagraph"/>
        <w:numPr>
          <w:ilvl w:val="0"/>
          <w:numId w:val="5"/>
        </w:numPr>
        <w:ind w:left="567" w:hanging="567"/>
        <w:jc w:val="both"/>
        <w:rPr>
          <w:rFonts w:cs="Arial"/>
          <w:bCs/>
        </w:rPr>
      </w:pPr>
      <w:r w:rsidRPr="00C573AB">
        <w:rPr>
          <w:rFonts w:cs="Arial"/>
          <w:b/>
          <w:szCs w:val="24"/>
        </w:rPr>
        <w:t>Directorate Management – net underspend £</w:t>
      </w:r>
      <w:r w:rsidR="00C573AB" w:rsidRPr="00C573AB">
        <w:rPr>
          <w:rFonts w:cs="Arial"/>
          <w:b/>
          <w:szCs w:val="24"/>
        </w:rPr>
        <w:t>176</w:t>
      </w:r>
      <w:r w:rsidRPr="00C573AB">
        <w:rPr>
          <w:rFonts w:cs="Arial"/>
          <w:b/>
          <w:szCs w:val="24"/>
        </w:rPr>
        <w:t>k</w:t>
      </w:r>
    </w:p>
    <w:p w14:paraId="753537AA" w14:textId="77777777" w:rsidR="00960DF8" w:rsidRPr="00C573AB" w:rsidRDefault="00960DF8" w:rsidP="00960DF8">
      <w:pPr>
        <w:pStyle w:val="ListParagraph"/>
        <w:ind w:left="567"/>
        <w:jc w:val="both"/>
        <w:rPr>
          <w:rFonts w:cs="Arial"/>
          <w:bCs/>
        </w:rPr>
      </w:pPr>
    </w:p>
    <w:p w14:paraId="2C58A641" w14:textId="77777777" w:rsidR="00505E6A" w:rsidRDefault="00C573AB" w:rsidP="00505E6A">
      <w:pPr>
        <w:pStyle w:val="ListParagraph"/>
        <w:numPr>
          <w:ilvl w:val="1"/>
          <w:numId w:val="5"/>
        </w:numPr>
        <w:ind w:left="1701" w:hanging="567"/>
        <w:jc w:val="both"/>
        <w:rPr>
          <w:rFonts w:cs="Arial"/>
          <w:bCs/>
        </w:rPr>
      </w:pPr>
      <w:r w:rsidRPr="00C573AB">
        <w:rPr>
          <w:rFonts w:cs="Arial"/>
          <w:bCs/>
        </w:rPr>
        <w:t xml:space="preserve">The Covid-19 pandemic continued to have an impact on the directorate’s ability to generate income in 2021-22 despite the lifting of all lockdown restrictions. As part of the MTFS process, budget growth of £5m was allocated to the directorate to recognise this impact and </w:t>
      </w:r>
      <w:r w:rsidRPr="00C573AB">
        <w:rPr>
          <w:rFonts w:cs="Arial"/>
          <w:bCs/>
        </w:rPr>
        <w:lastRenderedPageBreak/>
        <w:t>help mitigate any such losses. The £5m growth was held in Directorate Management. The final Covid-19 related loss of income in 2021-22 totalled £5.240m, £240k greater than the allocated budget growth.</w:t>
      </w:r>
    </w:p>
    <w:p w14:paraId="689DDF10" w14:textId="77777777" w:rsidR="00505E6A" w:rsidRDefault="00505E6A" w:rsidP="00505E6A">
      <w:pPr>
        <w:pStyle w:val="ListParagraph"/>
        <w:ind w:left="1701"/>
        <w:jc w:val="both"/>
        <w:rPr>
          <w:rFonts w:cs="Arial"/>
          <w:bCs/>
        </w:rPr>
      </w:pPr>
    </w:p>
    <w:p w14:paraId="0CDB4CCB" w14:textId="4800BB1A" w:rsidR="00C573AB" w:rsidRPr="00505E6A" w:rsidRDefault="00C573AB" w:rsidP="00505E6A">
      <w:pPr>
        <w:pStyle w:val="ListParagraph"/>
        <w:numPr>
          <w:ilvl w:val="1"/>
          <w:numId w:val="5"/>
        </w:numPr>
        <w:ind w:left="1701" w:hanging="567"/>
        <w:jc w:val="both"/>
        <w:rPr>
          <w:rFonts w:cs="Arial"/>
          <w:bCs/>
        </w:rPr>
      </w:pPr>
      <w:r w:rsidRPr="00505E6A">
        <w:rPr>
          <w:rFonts w:cs="Arial"/>
          <w:bCs/>
        </w:rPr>
        <w:t xml:space="preserve">This cost pressure was partially offset by an underspend of £64k on </w:t>
      </w:r>
      <w:r w:rsidR="00E136DA" w:rsidRPr="00505E6A">
        <w:rPr>
          <w:rFonts w:cs="Arial"/>
          <w:bCs/>
        </w:rPr>
        <w:t>running</w:t>
      </w:r>
      <w:r w:rsidRPr="00505E6A">
        <w:rPr>
          <w:rFonts w:cs="Arial"/>
          <w:bCs/>
        </w:rPr>
        <w:t xml:space="preserve"> costs and miscellaneous spent within Directorate Management</w:t>
      </w:r>
    </w:p>
    <w:p w14:paraId="0365E281" w14:textId="77777777" w:rsidR="00960DF8" w:rsidRPr="00960DF8" w:rsidRDefault="00960DF8" w:rsidP="00960DF8">
      <w:pPr>
        <w:pStyle w:val="ListParagraph"/>
        <w:ind w:left="567"/>
        <w:jc w:val="both"/>
        <w:rPr>
          <w:rFonts w:cs="Arial"/>
          <w:bCs/>
          <w:color w:val="FF0000"/>
        </w:rPr>
      </w:pPr>
    </w:p>
    <w:p w14:paraId="76AF3225" w14:textId="77777777" w:rsidR="00960DF8" w:rsidRPr="00505E6A" w:rsidRDefault="00960DF8" w:rsidP="00960DF8">
      <w:pPr>
        <w:pStyle w:val="ListParagraph"/>
        <w:ind w:left="567"/>
        <w:jc w:val="both"/>
        <w:rPr>
          <w:rFonts w:cs="Arial"/>
          <w:bCs/>
        </w:rPr>
      </w:pPr>
    </w:p>
    <w:p w14:paraId="3A23B9FE" w14:textId="3411525B" w:rsidR="00960DF8" w:rsidRPr="00505E6A" w:rsidRDefault="00960DF8" w:rsidP="00960DF8">
      <w:pPr>
        <w:pStyle w:val="ListParagraph"/>
        <w:numPr>
          <w:ilvl w:val="0"/>
          <w:numId w:val="5"/>
        </w:numPr>
        <w:ind w:left="567" w:hanging="567"/>
        <w:jc w:val="both"/>
        <w:rPr>
          <w:rFonts w:cs="Arial"/>
          <w:b/>
        </w:rPr>
      </w:pPr>
      <w:r w:rsidRPr="00505E6A">
        <w:rPr>
          <w:rFonts w:cs="Arial"/>
          <w:b/>
        </w:rPr>
        <w:t>Enterprise and Planning – net overspend £</w:t>
      </w:r>
      <w:r w:rsidR="00505E6A" w:rsidRPr="00505E6A">
        <w:rPr>
          <w:rFonts w:cs="Arial"/>
          <w:b/>
        </w:rPr>
        <w:t>389</w:t>
      </w:r>
      <w:r w:rsidRPr="00505E6A">
        <w:rPr>
          <w:rFonts w:cs="Arial"/>
          <w:b/>
        </w:rPr>
        <w:t>k</w:t>
      </w:r>
    </w:p>
    <w:p w14:paraId="07A30531" w14:textId="77777777" w:rsidR="00960DF8" w:rsidRPr="00505E6A" w:rsidRDefault="00960DF8" w:rsidP="00960DF8">
      <w:pPr>
        <w:pStyle w:val="ListParagraph"/>
        <w:rPr>
          <w:rFonts w:cs="Arial"/>
          <w:bCs/>
        </w:rPr>
      </w:pPr>
    </w:p>
    <w:p w14:paraId="466DFE11" w14:textId="2EBA46DA" w:rsidR="00505E6A" w:rsidRPr="00505E6A" w:rsidRDefault="00505E6A" w:rsidP="00960DF8">
      <w:pPr>
        <w:pStyle w:val="ListParagraph"/>
        <w:numPr>
          <w:ilvl w:val="1"/>
          <w:numId w:val="5"/>
        </w:numPr>
        <w:ind w:left="1701" w:hanging="567"/>
        <w:jc w:val="both"/>
        <w:rPr>
          <w:rFonts w:cs="Arial"/>
          <w:bCs/>
        </w:rPr>
      </w:pPr>
      <w:r w:rsidRPr="00505E6A">
        <w:rPr>
          <w:rFonts w:cs="Arial"/>
          <w:b/>
        </w:rPr>
        <w:t>Legal and counsel costs</w:t>
      </w:r>
      <w:r w:rsidRPr="00505E6A">
        <w:rPr>
          <w:rFonts w:cs="Arial"/>
          <w:bCs/>
        </w:rPr>
        <w:t xml:space="preserve"> – net overspend £117k. This was largely due to a public inquiry on </w:t>
      </w:r>
      <w:r w:rsidR="00E136DA" w:rsidRPr="00505E6A">
        <w:rPr>
          <w:rFonts w:cs="Arial"/>
          <w:bCs/>
        </w:rPr>
        <w:t>the</w:t>
      </w:r>
      <w:r w:rsidRPr="00505E6A">
        <w:rPr>
          <w:rFonts w:cs="Arial"/>
          <w:bCs/>
        </w:rPr>
        <w:t xml:space="preserve"> planning application decision of Canons Park Station. </w:t>
      </w:r>
    </w:p>
    <w:p w14:paraId="2DB9B648" w14:textId="77777777" w:rsidR="00505E6A" w:rsidRPr="00505E6A" w:rsidRDefault="00505E6A" w:rsidP="00505E6A">
      <w:pPr>
        <w:pStyle w:val="ListParagraph"/>
        <w:ind w:left="1701"/>
        <w:jc w:val="both"/>
        <w:rPr>
          <w:rFonts w:cs="Arial"/>
          <w:bCs/>
        </w:rPr>
      </w:pPr>
    </w:p>
    <w:p w14:paraId="140AD9F5" w14:textId="548C843B" w:rsidR="00960DF8" w:rsidRPr="00505E6A" w:rsidRDefault="00505E6A" w:rsidP="00960DF8">
      <w:pPr>
        <w:pStyle w:val="ListParagraph"/>
        <w:numPr>
          <w:ilvl w:val="1"/>
          <w:numId w:val="5"/>
        </w:numPr>
        <w:ind w:left="1701" w:hanging="567"/>
        <w:jc w:val="both"/>
        <w:rPr>
          <w:rFonts w:cs="Arial"/>
          <w:bCs/>
        </w:rPr>
      </w:pPr>
      <w:r w:rsidRPr="00505E6A">
        <w:rPr>
          <w:rFonts w:cs="Arial"/>
          <w:b/>
        </w:rPr>
        <w:t>Staffing Costs</w:t>
      </w:r>
      <w:r w:rsidRPr="00505E6A">
        <w:rPr>
          <w:rFonts w:cs="Arial"/>
          <w:bCs/>
        </w:rPr>
        <w:t xml:space="preserve"> – net overspend £78k. There was an overspend in Development Control due to the use of interim staffing</w:t>
      </w:r>
    </w:p>
    <w:p w14:paraId="4145E404" w14:textId="77777777" w:rsidR="00505E6A" w:rsidRPr="00505E6A" w:rsidRDefault="00505E6A" w:rsidP="00505E6A">
      <w:pPr>
        <w:pStyle w:val="ListParagraph"/>
        <w:ind w:left="1701"/>
        <w:jc w:val="both"/>
        <w:rPr>
          <w:rFonts w:cs="Arial"/>
          <w:bCs/>
        </w:rPr>
      </w:pPr>
    </w:p>
    <w:p w14:paraId="63CA4341" w14:textId="314943FF" w:rsidR="00505E6A" w:rsidRPr="00505E6A" w:rsidRDefault="00505E6A" w:rsidP="00960DF8">
      <w:pPr>
        <w:pStyle w:val="ListParagraph"/>
        <w:numPr>
          <w:ilvl w:val="1"/>
          <w:numId w:val="5"/>
        </w:numPr>
        <w:ind w:left="1701" w:hanging="567"/>
        <w:jc w:val="both"/>
        <w:rPr>
          <w:rFonts w:cs="Arial"/>
          <w:bCs/>
        </w:rPr>
      </w:pPr>
      <w:r w:rsidRPr="00505E6A">
        <w:rPr>
          <w:rFonts w:cs="Arial"/>
          <w:b/>
        </w:rPr>
        <w:t>Planning and Public Protection IT Pro</w:t>
      </w:r>
      <w:r w:rsidRPr="00505E6A">
        <w:rPr>
          <w:rFonts w:cs="Arial"/>
          <w:bCs/>
        </w:rPr>
        <w:t>ject – net overspend £216k. This was due to unfunded project resource to support the project.</w:t>
      </w:r>
    </w:p>
    <w:p w14:paraId="55DAB292" w14:textId="77777777" w:rsidR="00505E6A" w:rsidRPr="00505E6A" w:rsidRDefault="00505E6A" w:rsidP="00505E6A">
      <w:pPr>
        <w:pStyle w:val="ListParagraph"/>
        <w:rPr>
          <w:rFonts w:cs="Arial"/>
          <w:bCs/>
        </w:rPr>
      </w:pPr>
    </w:p>
    <w:p w14:paraId="62C25F9B" w14:textId="7CEB9E43" w:rsidR="00505E6A" w:rsidRPr="00505E6A" w:rsidRDefault="00505E6A" w:rsidP="00960DF8">
      <w:pPr>
        <w:pStyle w:val="ListParagraph"/>
        <w:numPr>
          <w:ilvl w:val="1"/>
          <w:numId w:val="5"/>
        </w:numPr>
        <w:ind w:left="1701" w:hanging="567"/>
        <w:jc w:val="both"/>
        <w:rPr>
          <w:rFonts w:cs="Arial"/>
          <w:bCs/>
        </w:rPr>
      </w:pPr>
      <w:r w:rsidRPr="00505E6A">
        <w:rPr>
          <w:rFonts w:cs="Arial"/>
          <w:bCs/>
        </w:rPr>
        <w:t>These cost pressures were partially offset by small underspends across the Economic Development &amp; Research and Adult Learning service areas.</w:t>
      </w:r>
    </w:p>
    <w:p w14:paraId="7F584578" w14:textId="77777777" w:rsidR="00960DF8" w:rsidRPr="0026056F" w:rsidRDefault="00960DF8" w:rsidP="00960DF8">
      <w:pPr>
        <w:pStyle w:val="ListParagraph"/>
        <w:rPr>
          <w:rFonts w:cs="Arial"/>
          <w:b/>
          <w:szCs w:val="24"/>
        </w:rPr>
      </w:pPr>
    </w:p>
    <w:p w14:paraId="786E1902" w14:textId="4A32BDB4" w:rsidR="00960DF8" w:rsidRPr="0026056F" w:rsidRDefault="00960DF8" w:rsidP="00960DF8">
      <w:pPr>
        <w:pStyle w:val="ListParagraph"/>
        <w:numPr>
          <w:ilvl w:val="0"/>
          <w:numId w:val="5"/>
        </w:numPr>
        <w:ind w:left="567" w:hanging="567"/>
        <w:jc w:val="both"/>
        <w:rPr>
          <w:rFonts w:cs="Arial"/>
          <w:bCs/>
        </w:rPr>
      </w:pPr>
      <w:r w:rsidRPr="0026056F">
        <w:rPr>
          <w:rFonts w:cs="Arial"/>
          <w:b/>
          <w:szCs w:val="24"/>
        </w:rPr>
        <w:t>Cultural Services – net underspend £1</w:t>
      </w:r>
      <w:r w:rsidR="00505E6A" w:rsidRPr="0026056F">
        <w:rPr>
          <w:rFonts w:cs="Arial"/>
          <w:b/>
          <w:szCs w:val="24"/>
        </w:rPr>
        <w:t>65</w:t>
      </w:r>
      <w:r w:rsidRPr="0026056F">
        <w:rPr>
          <w:rFonts w:cs="Arial"/>
          <w:b/>
          <w:szCs w:val="24"/>
        </w:rPr>
        <w:t>k</w:t>
      </w:r>
    </w:p>
    <w:p w14:paraId="32C24ADA" w14:textId="77777777" w:rsidR="00960DF8" w:rsidRPr="0026056F" w:rsidRDefault="00960DF8" w:rsidP="00960DF8">
      <w:pPr>
        <w:pStyle w:val="ListParagraph"/>
        <w:ind w:left="2160"/>
        <w:jc w:val="both"/>
        <w:rPr>
          <w:rFonts w:cs="Arial"/>
          <w:bCs/>
        </w:rPr>
      </w:pPr>
    </w:p>
    <w:p w14:paraId="4C750BD2" w14:textId="4DE67156" w:rsidR="00960DF8" w:rsidRPr="0026056F" w:rsidRDefault="00960DF8" w:rsidP="0026056F">
      <w:pPr>
        <w:pStyle w:val="ListParagraph"/>
        <w:numPr>
          <w:ilvl w:val="1"/>
          <w:numId w:val="5"/>
        </w:numPr>
        <w:ind w:left="1701" w:hanging="567"/>
        <w:jc w:val="both"/>
        <w:rPr>
          <w:rFonts w:cs="Arial"/>
          <w:bCs/>
        </w:rPr>
      </w:pPr>
      <w:r w:rsidRPr="0026056F">
        <w:rPr>
          <w:rFonts w:cs="Arial"/>
          <w:b/>
        </w:rPr>
        <w:t>Harrow Mu</w:t>
      </w:r>
      <w:r w:rsidR="0026056F" w:rsidRPr="0026056F">
        <w:rPr>
          <w:rFonts w:cs="Arial"/>
          <w:b/>
        </w:rPr>
        <w:t>sic Service</w:t>
      </w:r>
      <w:r w:rsidRPr="0026056F">
        <w:rPr>
          <w:rFonts w:cs="Arial"/>
          <w:bCs/>
        </w:rPr>
        <w:t xml:space="preserve"> – net underspend £</w:t>
      </w:r>
      <w:r w:rsidR="0026056F" w:rsidRPr="0026056F">
        <w:rPr>
          <w:rFonts w:cs="Arial"/>
          <w:bCs/>
        </w:rPr>
        <w:t>67</w:t>
      </w:r>
      <w:r w:rsidRPr="0026056F">
        <w:rPr>
          <w:rFonts w:cs="Arial"/>
          <w:bCs/>
        </w:rPr>
        <w:t xml:space="preserve">k. </w:t>
      </w:r>
      <w:r w:rsidR="0026056F" w:rsidRPr="0026056F">
        <w:rPr>
          <w:rFonts w:cs="Arial"/>
          <w:bCs/>
        </w:rPr>
        <w:t>This is due to staffing costs as fewer lessons were being carried out following the impact of Covid-19 resulted in a fall in the number of required staffing hours.</w:t>
      </w:r>
    </w:p>
    <w:p w14:paraId="5DE4EF8B" w14:textId="77777777" w:rsidR="0026056F" w:rsidRPr="0026056F" w:rsidRDefault="0026056F" w:rsidP="0026056F">
      <w:pPr>
        <w:pStyle w:val="ListParagraph"/>
        <w:ind w:left="1701"/>
        <w:jc w:val="both"/>
        <w:rPr>
          <w:rFonts w:cs="Arial"/>
          <w:bCs/>
        </w:rPr>
      </w:pPr>
    </w:p>
    <w:p w14:paraId="41535BC5" w14:textId="51CBE88E" w:rsidR="00960DF8" w:rsidRPr="0026056F" w:rsidRDefault="00960DF8" w:rsidP="00960DF8">
      <w:pPr>
        <w:pStyle w:val="ListParagraph"/>
        <w:numPr>
          <w:ilvl w:val="1"/>
          <w:numId w:val="5"/>
        </w:numPr>
        <w:ind w:left="1701" w:hanging="567"/>
        <w:jc w:val="both"/>
        <w:rPr>
          <w:rFonts w:cs="Arial"/>
          <w:bCs/>
        </w:rPr>
      </w:pPr>
      <w:r w:rsidRPr="0026056F">
        <w:rPr>
          <w:rFonts w:cs="Arial"/>
          <w:b/>
        </w:rPr>
        <w:t>Libraries</w:t>
      </w:r>
      <w:r w:rsidRPr="0026056F">
        <w:rPr>
          <w:rFonts w:cs="Arial"/>
          <w:bCs/>
        </w:rPr>
        <w:t xml:space="preserve"> – net </w:t>
      </w:r>
      <w:r w:rsidR="00505E6A" w:rsidRPr="0026056F">
        <w:rPr>
          <w:rFonts w:cs="Arial"/>
          <w:bCs/>
        </w:rPr>
        <w:t>under</w:t>
      </w:r>
      <w:r w:rsidRPr="0026056F">
        <w:rPr>
          <w:rFonts w:cs="Arial"/>
          <w:bCs/>
        </w:rPr>
        <w:t>spend £</w:t>
      </w:r>
      <w:r w:rsidR="00505E6A" w:rsidRPr="0026056F">
        <w:rPr>
          <w:rFonts w:cs="Arial"/>
          <w:bCs/>
        </w:rPr>
        <w:t>112</w:t>
      </w:r>
      <w:r w:rsidRPr="0026056F">
        <w:rPr>
          <w:rFonts w:cs="Arial"/>
          <w:bCs/>
        </w:rPr>
        <w:t xml:space="preserve">k. There is an underspend </w:t>
      </w:r>
      <w:r w:rsidR="00505E6A" w:rsidRPr="0026056F">
        <w:rPr>
          <w:rFonts w:cs="Arial"/>
          <w:bCs/>
        </w:rPr>
        <w:t xml:space="preserve">on staffing costs driven by several vacant posts during library closure due to </w:t>
      </w:r>
      <w:r w:rsidR="0026056F" w:rsidRPr="0026056F">
        <w:rPr>
          <w:rFonts w:cs="Arial"/>
          <w:bCs/>
        </w:rPr>
        <w:t xml:space="preserve">Covid-19. Some of these remained throughout the course of the year. Because of the nature of the work (much of the staff are part-time and/or only work weekends or evenings) and the staggered reopening of libraries following the </w:t>
      </w:r>
      <w:r w:rsidR="00E136DA" w:rsidRPr="0026056F">
        <w:rPr>
          <w:rFonts w:cs="Arial"/>
          <w:bCs/>
        </w:rPr>
        <w:t>lifting</w:t>
      </w:r>
      <w:r w:rsidR="0026056F" w:rsidRPr="0026056F">
        <w:rPr>
          <w:rFonts w:cs="Arial"/>
          <w:bCs/>
        </w:rPr>
        <w:t xml:space="preserve"> of </w:t>
      </w:r>
      <w:r w:rsidR="00E136DA" w:rsidRPr="0026056F">
        <w:rPr>
          <w:rFonts w:cs="Arial"/>
          <w:bCs/>
        </w:rPr>
        <w:t>restrictions</w:t>
      </w:r>
      <w:r w:rsidR="0026056F" w:rsidRPr="0026056F">
        <w:rPr>
          <w:rFonts w:cs="Arial"/>
          <w:bCs/>
        </w:rPr>
        <w:t>, recruitment proved difficult.</w:t>
      </w:r>
    </w:p>
    <w:p w14:paraId="35F45E4C" w14:textId="77777777" w:rsidR="00960DF8" w:rsidRPr="00960DF8" w:rsidRDefault="00960DF8" w:rsidP="00960DF8">
      <w:pPr>
        <w:pStyle w:val="ListParagraph"/>
        <w:ind w:left="567"/>
        <w:jc w:val="both"/>
        <w:rPr>
          <w:rFonts w:cs="Arial"/>
          <w:bCs/>
          <w:color w:val="FF0000"/>
        </w:rPr>
      </w:pPr>
    </w:p>
    <w:p w14:paraId="74D5482F" w14:textId="77777777" w:rsidR="00960DF8" w:rsidRPr="0026056F" w:rsidRDefault="00960DF8" w:rsidP="00960DF8">
      <w:pPr>
        <w:pStyle w:val="ListParagraph"/>
        <w:numPr>
          <w:ilvl w:val="0"/>
          <w:numId w:val="5"/>
        </w:numPr>
        <w:ind w:left="567" w:hanging="567"/>
        <w:jc w:val="both"/>
        <w:rPr>
          <w:rFonts w:cs="Arial"/>
          <w:bCs/>
        </w:rPr>
      </w:pPr>
      <w:r w:rsidRPr="0026056F">
        <w:rPr>
          <w:rFonts w:cs="Arial"/>
          <w:b/>
          <w:szCs w:val="24"/>
        </w:rPr>
        <w:t>Housing General Fund</w:t>
      </w:r>
    </w:p>
    <w:p w14:paraId="353F2916" w14:textId="77777777" w:rsidR="00960DF8" w:rsidRPr="0026056F" w:rsidRDefault="00960DF8" w:rsidP="00960DF8">
      <w:pPr>
        <w:pStyle w:val="ListParagraph"/>
        <w:ind w:left="567"/>
        <w:jc w:val="both"/>
        <w:rPr>
          <w:rFonts w:cs="Arial"/>
          <w:bCs/>
        </w:rPr>
      </w:pPr>
    </w:p>
    <w:p w14:paraId="53180E21" w14:textId="59094A3F" w:rsidR="00960DF8" w:rsidRPr="0026056F" w:rsidRDefault="0026056F" w:rsidP="00960DF8">
      <w:pPr>
        <w:pStyle w:val="ListParagraph"/>
        <w:numPr>
          <w:ilvl w:val="0"/>
          <w:numId w:val="5"/>
        </w:numPr>
        <w:ind w:left="567" w:hanging="567"/>
        <w:jc w:val="both"/>
        <w:rPr>
          <w:rFonts w:cs="Arial"/>
          <w:bCs/>
        </w:rPr>
      </w:pPr>
      <w:r w:rsidRPr="0026056F">
        <w:rPr>
          <w:rFonts w:cs="Arial"/>
          <w:bCs/>
          <w:szCs w:val="24"/>
        </w:rPr>
        <w:t>Housing Services produced a balanced position after applying £1.268m from the Homelessness Prevention Grant (HPG) to meet the business-as-usual costs associated with the Homelessness Reduction Act. There was a further cross divisional adjustment of £70k associated with financing costs for the Property Acquisition Programme</w:t>
      </w:r>
    </w:p>
    <w:p w14:paraId="55EBE814" w14:textId="77777777" w:rsidR="00960DF8" w:rsidRPr="0026056F" w:rsidRDefault="00960DF8" w:rsidP="00960DF8">
      <w:pPr>
        <w:pStyle w:val="ListParagraph"/>
        <w:numPr>
          <w:ilvl w:val="0"/>
          <w:numId w:val="5"/>
        </w:numPr>
        <w:ind w:left="567" w:hanging="567"/>
        <w:jc w:val="both"/>
        <w:rPr>
          <w:rFonts w:cs="Arial"/>
          <w:bCs/>
        </w:rPr>
      </w:pPr>
      <w:r w:rsidRPr="0026056F">
        <w:rPr>
          <w:rFonts w:cs="Arial"/>
          <w:b/>
          <w:szCs w:val="24"/>
        </w:rPr>
        <w:t>Regeneration</w:t>
      </w:r>
    </w:p>
    <w:p w14:paraId="56332DD7" w14:textId="77777777" w:rsidR="00960DF8" w:rsidRPr="0026056F" w:rsidRDefault="00960DF8" w:rsidP="00960DF8">
      <w:pPr>
        <w:pStyle w:val="ListParagraph"/>
        <w:ind w:left="567"/>
        <w:jc w:val="both"/>
        <w:rPr>
          <w:rFonts w:cs="Arial"/>
          <w:bCs/>
        </w:rPr>
      </w:pPr>
    </w:p>
    <w:p w14:paraId="04728480" w14:textId="72B6C89D" w:rsidR="00960DF8" w:rsidRPr="0026056F" w:rsidRDefault="0026056F" w:rsidP="00960DF8">
      <w:pPr>
        <w:pStyle w:val="ListParagraph"/>
        <w:numPr>
          <w:ilvl w:val="0"/>
          <w:numId w:val="5"/>
        </w:numPr>
        <w:ind w:left="567" w:hanging="567"/>
        <w:jc w:val="both"/>
        <w:rPr>
          <w:rFonts w:cs="Arial"/>
          <w:bCs/>
        </w:rPr>
      </w:pPr>
      <w:r w:rsidRPr="0026056F">
        <w:rPr>
          <w:rFonts w:cs="Arial"/>
          <w:bCs/>
          <w:szCs w:val="24"/>
        </w:rPr>
        <w:t>The final outturn for the Regeneration Programme revenue budget is £943k.</w:t>
      </w:r>
    </w:p>
    <w:p w14:paraId="19F2B5CC" w14:textId="77777777" w:rsidR="00EF5843" w:rsidRDefault="00EF5843" w:rsidP="00AF347B">
      <w:pPr>
        <w:pStyle w:val="ListParagraph"/>
        <w:ind w:left="1180" w:right="-1" w:hanging="613"/>
        <w:rPr>
          <w:rFonts w:cs="Arial"/>
          <w:b/>
        </w:rPr>
      </w:pPr>
    </w:p>
    <w:p w14:paraId="78F1A09E" w14:textId="0F3500BE" w:rsidR="00CD5B85" w:rsidRPr="00C761D4" w:rsidRDefault="00F6344A" w:rsidP="00AF347B">
      <w:pPr>
        <w:pStyle w:val="ListParagraph"/>
        <w:ind w:left="1180" w:right="-1" w:hanging="613"/>
        <w:rPr>
          <w:rFonts w:cs="Arial"/>
          <w:b/>
        </w:rPr>
      </w:pPr>
      <w:r w:rsidRPr="00C761D4">
        <w:rPr>
          <w:rFonts w:cs="Arial"/>
          <w:b/>
        </w:rPr>
        <w:t>PEOPLE SERVICES</w:t>
      </w:r>
    </w:p>
    <w:p w14:paraId="0635EB06" w14:textId="77777777" w:rsidR="00F678AF" w:rsidRPr="00C761D4" w:rsidRDefault="00F678AF" w:rsidP="00F678AF">
      <w:pPr>
        <w:pStyle w:val="ListParagraph"/>
        <w:rPr>
          <w:rFonts w:cs="Arial"/>
          <w:bCs/>
          <w:szCs w:val="24"/>
        </w:rPr>
      </w:pPr>
    </w:p>
    <w:p w14:paraId="1B967ECB" w14:textId="3707A08C" w:rsidR="00F678AF" w:rsidRPr="00C761D4" w:rsidRDefault="00157B60" w:rsidP="007A4D31">
      <w:pPr>
        <w:pStyle w:val="ListParagraph"/>
        <w:numPr>
          <w:ilvl w:val="0"/>
          <w:numId w:val="5"/>
        </w:numPr>
        <w:ind w:left="567" w:hanging="567"/>
        <w:jc w:val="both"/>
        <w:rPr>
          <w:rFonts w:cs="Arial"/>
          <w:bCs/>
        </w:rPr>
      </w:pPr>
      <w:r w:rsidRPr="00C761D4">
        <w:rPr>
          <w:rFonts w:cs="Arial"/>
          <w:bCs/>
          <w:szCs w:val="24"/>
        </w:rPr>
        <w:t>The final outturn for the People Services directorate is a net underspend of £</w:t>
      </w:r>
      <w:r w:rsidR="00C761D4" w:rsidRPr="00C761D4">
        <w:rPr>
          <w:rFonts w:cs="Arial"/>
          <w:bCs/>
          <w:szCs w:val="24"/>
        </w:rPr>
        <w:t>294</w:t>
      </w:r>
      <w:r w:rsidRPr="00C761D4">
        <w:rPr>
          <w:rFonts w:cs="Arial"/>
          <w:bCs/>
          <w:szCs w:val="24"/>
        </w:rPr>
        <w:t>k.</w:t>
      </w:r>
      <w:r w:rsidR="005B3414" w:rsidRPr="00C761D4">
        <w:rPr>
          <w:rFonts w:cs="Arial"/>
          <w:bCs/>
          <w:szCs w:val="24"/>
        </w:rPr>
        <w:t xml:space="preserve"> </w:t>
      </w:r>
    </w:p>
    <w:p w14:paraId="41E99BF5" w14:textId="43274BB6" w:rsidR="00F678AF" w:rsidRPr="00C761D4" w:rsidRDefault="00F678AF" w:rsidP="00F678AF">
      <w:pPr>
        <w:pStyle w:val="ListParagraph"/>
        <w:ind w:left="567"/>
        <w:jc w:val="both"/>
        <w:rPr>
          <w:rFonts w:cs="Arial"/>
          <w:bCs/>
        </w:rPr>
      </w:pPr>
    </w:p>
    <w:p w14:paraId="022EEAB0" w14:textId="712B28CA" w:rsidR="00F6344A" w:rsidRPr="00C761D4" w:rsidRDefault="006A200B" w:rsidP="000C14C0">
      <w:pPr>
        <w:rPr>
          <w:b/>
          <w:bCs/>
          <w:szCs w:val="24"/>
          <w:u w:val="single"/>
        </w:rPr>
      </w:pPr>
      <w:r w:rsidRPr="00C761D4">
        <w:rPr>
          <w:b/>
          <w:bCs/>
          <w:szCs w:val="24"/>
          <w:u w:val="single"/>
        </w:rPr>
        <w:t xml:space="preserve">Table </w:t>
      </w:r>
      <w:r w:rsidR="00A44B40">
        <w:rPr>
          <w:b/>
          <w:bCs/>
          <w:szCs w:val="24"/>
          <w:u w:val="single"/>
        </w:rPr>
        <w:t>4</w:t>
      </w:r>
      <w:r w:rsidRPr="00C761D4">
        <w:rPr>
          <w:b/>
          <w:bCs/>
          <w:szCs w:val="24"/>
          <w:u w:val="single"/>
        </w:rPr>
        <w:t xml:space="preserve">: </w:t>
      </w:r>
      <w:r w:rsidR="00F6344A" w:rsidRPr="00C761D4">
        <w:rPr>
          <w:b/>
          <w:bCs/>
          <w:szCs w:val="24"/>
          <w:u w:val="single"/>
        </w:rPr>
        <w:t xml:space="preserve">People Services Revenue </w:t>
      </w:r>
      <w:r w:rsidR="003065D6" w:rsidRPr="00C761D4">
        <w:rPr>
          <w:b/>
          <w:bCs/>
          <w:szCs w:val="24"/>
          <w:u w:val="single"/>
        </w:rPr>
        <w:t xml:space="preserve">Outturn </w:t>
      </w:r>
      <w:r w:rsidR="00C761D4" w:rsidRPr="00C761D4">
        <w:rPr>
          <w:b/>
          <w:bCs/>
          <w:szCs w:val="24"/>
          <w:u w:val="single"/>
        </w:rPr>
        <w:t>2021-22</w:t>
      </w:r>
    </w:p>
    <w:p w14:paraId="2E7E81EB" w14:textId="77777777" w:rsidR="008439CB" w:rsidRPr="00C761D4" w:rsidRDefault="008439CB" w:rsidP="006A200B">
      <w:pPr>
        <w:ind w:firstLine="567"/>
        <w:rPr>
          <w:b/>
          <w:bCs/>
          <w:szCs w:val="24"/>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796"/>
        <w:gridCol w:w="1060"/>
        <w:gridCol w:w="1267"/>
        <w:gridCol w:w="1195"/>
        <w:gridCol w:w="1023"/>
        <w:gridCol w:w="1060"/>
        <w:gridCol w:w="1134"/>
      </w:tblGrid>
      <w:tr w:rsidR="006E61F6" w:rsidRPr="006E61F6" w14:paraId="4DA2EDBA" w14:textId="336E985C" w:rsidTr="006E61F6">
        <w:trPr>
          <w:trHeight w:val="851"/>
        </w:trPr>
        <w:tc>
          <w:tcPr>
            <w:tcW w:w="709" w:type="dxa"/>
            <w:shd w:val="clear" w:color="auto" w:fill="auto"/>
            <w:vAlign w:val="center"/>
          </w:tcPr>
          <w:p w14:paraId="50743E99" w14:textId="027A7D5E" w:rsidR="006E61F6" w:rsidRPr="006E61F6" w:rsidRDefault="006E61F6" w:rsidP="006E61F6">
            <w:pPr>
              <w:jc w:val="center"/>
              <w:rPr>
                <w:rFonts w:cs="Arial"/>
                <w:b/>
                <w:bCs/>
                <w:sz w:val="22"/>
                <w:szCs w:val="22"/>
                <w:lang w:eastAsia="en-GB"/>
              </w:rPr>
            </w:pPr>
            <w:r w:rsidRPr="006E61F6">
              <w:rPr>
                <w:rFonts w:cs="Arial"/>
                <w:b/>
                <w:bCs/>
                <w:color w:val="000000"/>
                <w:sz w:val="22"/>
                <w:szCs w:val="22"/>
              </w:rPr>
              <w:t>Division</w:t>
            </w:r>
          </w:p>
        </w:tc>
        <w:tc>
          <w:tcPr>
            <w:tcW w:w="2796" w:type="dxa"/>
            <w:shd w:val="clear" w:color="auto" w:fill="auto"/>
            <w:vAlign w:val="center"/>
            <w:hideMark/>
          </w:tcPr>
          <w:p w14:paraId="0749278C" w14:textId="790DDC2A" w:rsidR="006E61F6" w:rsidRPr="006E61F6" w:rsidRDefault="006E61F6" w:rsidP="006E61F6">
            <w:pPr>
              <w:jc w:val="center"/>
              <w:rPr>
                <w:rFonts w:cs="Arial"/>
                <w:b/>
                <w:bCs/>
                <w:sz w:val="22"/>
                <w:szCs w:val="22"/>
                <w:lang w:eastAsia="en-GB"/>
              </w:rPr>
            </w:pPr>
            <w:r w:rsidRPr="006E61F6">
              <w:rPr>
                <w:rFonts w:cs="Arial"/>
                <w:b/>
                <w:bCs/>
                <w:color w:val="000000"/>
                <w:sz w:val="22"/>
                <w:szCs w:val="22"/>
              </w:rPr>
              <w:t>Service Area</w:t>
            </w:r>
          </w:p>
        </w:tc>
        <w:tc>
          <w:tcPr>
            <w:tcW w:w="984" w:type="dxa"/>
            <w:shd w:val="clear" w:color="auto" w:fill="auto"/>
            <w:vAlign w:val="center"/>
            <w:hideMark/>
          </w:tcPr>
          <w:p w14:paraId="1C7ECF26" w14:textId="3890A733" w:rsidR="006E61F6" w:rsidRPr="006E61F6" w:rsidRDefault="006E61F6" w:rsidP="006E61F6">
            <w:pPr>
              <w:jc w:val="center"/>
              <w:rPr>
                <w:rFonts w:cs="Arial"/>
                <w:b/>
                <w:bCs/>
                <w:sz w:val="22"/>
                <w:szCs w:val="22"/>
                <w:lang w:eastAsia="en-GB"/>
              </w:rPr>
            </w:pPr>
            <w:r w:rsidRPr="006E61F6">
              <w:rPr>
                <w:rFonts w:cs="Arial"/>
                <w:b/>
                <w:bCs/>
                <w:color w:val="000000"/>
                <w:sz w:val="22"/>
                <w:szCs w:val="22"/>
              </w:rPr>
              <w:t>Revised Budget</w:t>
            </w:r>
          </w:p>
        </w:tc>
        <w:tc>
          <w:tcPr>
            <w:tcW w:w="1267" w:type="dxa"/>
            <w:shd w:val="clear" w:color="auto" w:fill="auto"/>
            <w:vAlign w:val="center"/>
            <w:hideMark/>
          </w:tcPr>
          <w:p w14:paraId="47DD9B81" w14:textId="499D72A4" w:rsidR="006E61F6" w:rsidRPr="006E61F6" w:rsidRDefault="006E61F6" w:rsidP="006E61F6">
            <w:pPr>
              <w:jc w:val="center"/>
              <w:rPr>
                <w:rFonts w:cs="Arial"/>
                <w:b/>
                <w:bCs/>
                <w:sz w:val="22"/>
                <w:szCs w:val="22"/>
                <w:lang w:eastAsia="en-GB"/>
              </w:rPr>
            </w:pPr>
            <w:r w:rsidRPr="006E61F6">
              <w:rPr>
                <w:rFonts w:cs="Arial"/>
                <w:b/>
                <w:bCs/>
                <w:color w:val="000000"/>
                <w:sz w:val="22"/>
                <w:szCs w:val="22"/>
              </w:rPr>
              <w:t>Outturn</w:t>
            </w:r>
          </w:p>
        </w:tc>
        <w:tc>
          <w:tcPr>
            <w:tcW w:w="1134" w:type="dxa"/>
            <w:shd w:val="clear" w:color="auto" w:fill="auto"/>
            <w:vAlign w:val="center"/>
          </w:tcPr>
          <w:p w14:paraId="1BA36E45" w14:textId="1CA66150" w:rsidR="006E61F6" w:rsidRPr="006E61F6" w:rsidRDefault="006E61F6" w:rsidP="006E61F6">
            <w:pPr>
              <w:jc w:val="center"/>
              <w:rPr>
                <w:rFonts w:cs="Arial"/>
                <w:b/>
                <w:bCs/>
                <w:sz w:val="22"/>
                <w:szCs w:val="22"/>
                <w:lang w:eastAsia="en-GB"/>
              </w:rPr>
            </w:pPr>
            <w:r w:rsidRPr="006E61F6">
              <w:rPr>
                <w:rFonts w:cs="Arial"/>
                <w:b/>
                <w:bCs/>
                <w:color w:val="000000"/>
                <w:sz w:val="22"/>
                <w:szCs w:val="22"/>
              </w:rPr>
              <w:t>To/ (From) Reserves</w:t>
            </w:r>
          </w:p>
        </w:tc>
        <w:tc>
          <w:tcPr>
            <w:tcW w:w="1138" w:type="dxa"/>
            <w:shd w:val="clear" w:color="auto" w:fill="auto"/>
            <w:vAlign w:val="center"/>
          </w:tcPr>
          <w:p w14:paraId="67CA0EB4" w14:textId="0ABE82DD" w:rsidR="006E61F6" w:rsidRPr="006E61F6" w:rsidRDefault="006E61F6" w:rsidP="006E61F6">
            <w:pPr>
              <w:jc w:val="center"/>
              <w:rPr>
                <w:rFonts w:cs="Arial"/>
                <w:b/>
                <w:bCs/>
                <w:sz w:val="22"/>
                <w:szCs w:val="22"/>
                <w:lang w:eastAsia="en-GB"/>
              </w:rPr>
            </w:pPr>
            <w:r w:rsidRPr="006E61F6">
              <w:rPr>
                <w:rFonts w:cs="Arial"/>
                <w:b/>
                <w:bCs/>
                <w:color w:val="000000"/>
                <w:sz w:val="22"/>
                <w:szCs w:val="22"/>
              </w:rPr>
              <w:t>One off funding</w:t>
            </w:r>
          </w:p>
        </w:tc>
        <w:tc>
          <w:tcPr>
            <w:tcW w:w="984" w:type="dxa"/>
            <w:shd w:val="clear" w:color="auto" w:fill="auto"/>
            <w:vAlign w:val="center"/>
          </w:tcPr>
          <w:p w14:paraId="16AB71F9" w14:textId="59D93B3A" w:rsidR="006E61F6" w:rsidRPr="006E61F6" w:rsidRDefault="006E61F6" w:rsidP="006E61F6">
            <w:pPr>
              <w:jc w:val="center"/>
              <w:rPr>
                <w:rFonts w:cs="Arial"/>
                <w:b/>
                <w:bCs/>
                <w:sz w:val="22"/>
                <w:szCs w:val="22"/>
                <w:lang w:eastAsia="en-GB"/>
              </w:rPr>
            </w:pPr>
            <w:r w:rsidRPr="006E61F6">
              <w:rPr>
                <w:rFonts w:cs="Arial"/>
                <w:b/>
                <w:bCs/>
                <w:color w:val="000000"/>
                <w:sz w:val="22"/>
                <w:szCs w:val="22"/>
              </w:rPr>
              <w:t>Revised Outturn</w:t>
            </w:r>
          </w:p>
        </w:tc>
        <w:tc>
          <w:tcPr>
            <w:tcW w:w="1194" w:type="dxa"/>
            <w:shd w:val="clear" w:color="auto" w:fill="auto"/>
            <w:vAlign w:val="center"/>
          </w:tcPr>
          <w:p w14:paraId="34D7C6CE" w14:textId="19AAE2A2" w:rsidR="006E61F6" w:rsidRPr="006E61F6" w:rsidRDefault="006E61F6" w:rsidP="006E61F6">
            <w:pPr>
              <w:jc w:val="center"/>
              <w:rPr>
                <w:rFonts w:cs="Arial"/>
                <w:b/>
                <w:bCs/>
                <w:sz w:val="22"/>
                <w:szCs w:val="22"/>
                <w:lang w:eastAsia="en-GB"/>
              </w:rPr>
            </w:pPr>
            <w:r w:rsidRPr="006E61F6">
              <w:rPr>
                <w:rFonts w:cs="Arial"/>
                <w:b/>
                <w:bCs/>
                <w:color w:val="000000"/>
                <w:sz w:val="22"/>
                <w:szCs w:val="22"/>
              </w:rPr>
              <w:t>Variance to budget</w:t>
            </w:r>
          </w:p>
        </w:tc>
      </w:tr>
      <w:tr w:rsidR="006E61F6" w:rsidRPr="006E61F6" w14:paraId="2D13E301" w14:textId="54F2AE51" w:rsidTr="006E61F6">
        <w:trPr>
          <w:trHeight w:val="300"/>
        </w:trPr>
        <w:tc>
          <w:tcPr>
            <w:tcW w:w="709" w:type="dxa"/>
            <w:shd w:val="clear" w:color="auto" w:fill="auto"/>
            <w:vAlign w:val="center"/>
          </w:tcPr>
          <w:p w14:paraId="7E86C658" w14:textId="13475D7D" w:rsidR="006E61F6" w:rsidRPr="006E61F6" w:rsidRDefault="006E61F6" w:rsidP="006E61F6">
            <w:pPr>
              <w:jc w:val="center"/>
              <w:rPr>
                <w:rFonts w:cs="Arial"/>
                <w:sz w:val="22"/>
                <w:szCs w:val="22"/>
                <w:lang w:eastAsia="en-GB"/>
              </w:rPr>
            </w:pPr>
            <w:r w:rsidRPr="006E61F6">
              <w:rPr>
                <w:rFonts w:cs="Arial"/>
                <w:color w:val="000000"/>
                <w:sz w:val="22"/>
                <w:szCs w:val="22"/>
              </w:rPr>
              <w:t> </w:t>
            </w:r>
          </w:p>
        </w:tc>
        <w:tc>
          <w:tcPr>
            <w:tcW w:w="2796" w:type="dxa"/>
            <w:shd w:val="clear" w:color="auto" w:fill="auto"/>
            <w:vAlign w:val="center"/>
            <w:hideMark/>
          </w:tcPr>
          <w:p w14:paraId="13740CA4" w14:textId="4B38932A" w:rsidR="006E61F6" w:rsidRPr="006E61F6" w:rsidRDefault="006E61F6" w:rsidP="006E61F6">
            <w:pPr>
              <w:jc w:val="center"/>
              <w:rPr>
                <w:rFonts w:cs="Arial"/>
                <w:b/>
                <w:sz w:val="22"/>
                <w:szCs w:val="22"/>
                <w:lang w:eastAsia="en-GB"/>
              </w:rPr>
            </w:pPr>
            <w:r w:rsidRPr="006E61F6">
              <w:rPr>
                <w:rFonts w:cs="Arial"/>
                <w:color w:val="000000"/>
                <w:sz w:val="22"/>
                <w:szCs w:val="22"/>
              </w:rPr>
              <w:t> </w:t>
            </w:r>
          </w:p>
        </w:tc>
        <w:tc>
          <w:tcPr>
            <w:tcW w:w="984" w:type="dxa"/>
            <w:shd w:val="clear" w:color="auto" w:fill="auto"/>
            <w:vAlign w:val="center"/>
            <w:hideMark/>
          </w:tcPr>
          <w:p w14:paraId="6615ADFE" w14:textId="49E2A7D7"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c>
          <w:tcPr>
            <w:tcW w:w="1267" w:type="dxa"/>
            <w:shd w:val="clear" w:color="auto" w:fill="auto"/>
            <w:vAlign w:val="center"/>
            <w:hideMark/>
          </w:tcPr>
          <w:p w14:paraId="68C0CEE0" w14:textId="1BCC67CC"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c>
          <w:tcPr>
            <w:tcW w:w="1134" w:type="dxa"/>
            <w:shd w:val="clear" w:color="auto" w:fill="auto"/>
            <w:vAlign w:val="center"/>
          </w:tcPr>
          <w:p w14:paraId="47CD4CE7" w14:textId="7B75F297"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c>
          <w:tcPr>
            <w:tcW w:w="1138" w:type="dxa"/>
            <w:shd w:val="clear" w:color="auto" w:fill="auto"/>
            <w:vAlign w:val="center"/>
          </w:tcPr>
          <w:p w14:paraId="2A0C187B" w14:textId="63E01E38"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c>
          <w:tcPr>
            <w:tcW w:w="984" w:type="dxa"/>
            <w:shd w:val="clear" w:color="auto" w:fill="auto"/>
            <w:vAlign w:val="center"/>
          </w:tcPr>
          <w:p w14:paraId="17CDA760" w14:textId="5E561723"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c>
          <w:tcPr>
            <w:tcW w:w="1194" w:type="dxa"/>
            <w:shd w:val="clear" w:color="auto" w:fill="auto"/>
            <w:vAlign w:val="center"/>
          </w:tcPr>
          <w:p w14:paraId="7D163F53" w14:textId="6DF9B0AA" w:rsidR="006E61F6" w:rsidRPr="006E61F6" w:rsidRDefault="006E61F6" w:rsidP="006E61F6">
            <w:pPr>
              <w:jc w:val="center"/>
              <w:rPr>
                <w:rFonts w:cs="Arial"/>
                <w:b/>
                <w:bCs/>
                <w:sz w:val="22"/>
                <w:szCs w:val="22"/>
                <w:lang w:eastAsia="en-GB"/>
              </w:rPr>
            </w:pPr>
            <w:r w:rsidRPr="006E61F6">
              <w:rPr>
                <w:rFonts w:cs="Arial"/>
                <w:b/>
                <w:bCs/>
                <w:color w:val="000000"/>
                <w:sz w:val="22"/>
                <w:szCs w:val="22"/>
              </w:rPr>
              <w:t>£’000</w:t>
            </w:r>
          </w:p>
        </w:tc>
      </w:tr>
      <w:tr w:rsidR="006E61F6" w:rsidRPr="006E61F6" w14:paraId="2984C18F" w14:textId="5988548D" w:rsidTr="006E61F6">
        <w:trPr>
          <w:trHeight w:hRule="exact" w:val="301"/>
        </w:trPr>
        <w:tc>
          <w:tcPr>
            <w:tcW w:w="709" w:type="dxa"/>
            <w:tcBorders>
              <w:bottom w:val="nil"/>
            </w:tcBorders>
            <w:shd w:val="clear" w:color="auto" w:fill="auto"/>
            <w:vAlign w:val="center"/>
          </w:tcPr>
          <w:p w14:paraId="6EF8594E" w14:textId="57E09724" w:rsidR="006E61F6" w:rsidRPr="006E61F6" w:rsidRDefault="006E61F6" w:rsidP="006E61F6">
            <w:pPr>
              <w:rPr>
                <w:rFonts w:cs="Arial"/>
                <w:sz w:val="22"/>
                <w:szCs w:val="22"/>
                <w:lang w:eastAsia="en-GB"/>
              </w:rPr>
            </w:pPr>
            <w:r w:rsidRPr="006E61F6">
              <w:rPr>
                <w:rFonts w:cs="Arial"/>
                <w:color w:val="000000"/>
                <w:sz w:val="22"/>
                <w:szCs w:val="22"/>
              </w:rPr>
              <w:t>Adults</w:t>
            </w:r>
          </w:p>
        </w:tc>
        <w:tc>
          <w:tcPr>
            <w:tcW w:w="2796" w:type="dxa"/>
            <w:shd w:val="clear" w:color="auto" w:fill="auto"/>
            <w:noWrap/>
            <w:vAlign w:val="center"/>
          </w:tcPr>
          <w:p w14:paraId="4886EB2A" w14:textId="1CB8AF4E" w:rsidR="006E61F6" w:rsidRPr="006E61F6" w:rsidRDefault="006E61F6" w:rsidP="006E61F6">
            <w:pPr>
              <w:rPr>
                <w:rFonts w:cs="Arial"/>
                <w:sz w:val="22"/>
                <w:szCs w:val="22"/>
                <w:lang w:eastAsia="en-GB"/>
              </w:rPr>
            </w:pPr>
            <w:r w:rsidRPr="006E61F6">
              <w:rPr>
                <w:rFonts w:cs="Arial"/>
                <w:color w:val="000000"/>
                <w:sz w:val="22"/>
                <w:szCs w:val="22"/>
              </w:rPr>
              <w:t>Strategic Management</w:t>
            </w:r>
          </w:p>
        </w:tc>
        <w:tc>
          <w:tcPr>
            <w:tcW w:w="984" w:type="dxa"/>
            <w:shd w:val="clear" w:color="000000" w:fill="FFFFFF"/>
            <w:noWrap/>
            <w:vAlign w:val="center"/>
          </w:tcPr>
          <w:p w14:paraId="7AF87E66" w14:textId="0DCB033D" w:rsidR="006E61F6" w:rsidRPr="006E61F6" w:rsidRDefault="006E61F6" w:rsidP="006E61F6">
            <w:pPr>
              <w:jc w:val="right"/>
              <w:rPr>
                <w:rFonts w:cs="Arial"/>
                <w:sz w:val="22"/>
                <w:szCs w:val="22"/>
                <w:lang w:eastAsia="en-GB"/>
              </w:rPr>
            </w:pPr>
            <w:r w:rsidRPr="006E61F6">
              <w:rPr>
                <w:rFonts w:cs="Arial"/>
                <w:color w:val="000000"/>
                <w:sz w:val="22"/>
                <w:szCs w:val="22"/>
              </w:rPr>
              <w:t>1,057</w:t>
            </w:r>
          </w:p>
        </w:tc>
        <w:tc>
          <w:tcPr>
            <w:tcW w:w="1267" w:type="dxa"/>
            <w:shd w:val="clear" w:color="000000" w:fill="FFFFFF"/>
            <w:noWrap/>
            <w:vAlign w:val="center"/>
          </w:tcPr>
          <w:p w14:paraId="2A160E96" w14:textId="25581555" w:rsidR="006E61F6" w:rsidRPr="006E61F6" w:rsidRDefault="006E61F6" w:rsidP="006E61F6">
            <w:pPr>
              <w:jc w:val="right"/>
              <w:rPr>
                <w:rFonts w:cs="Arial"/>
                <w:sz w:val="22"/>
                <w:szCs w:val="22"/>
                <w:lang w:eastAsia="en-GB"/>
              </w:rPr>
            </w:pPr>
            <w:r w:rsidRPr="006E61F6">
              <w:rPr>
                <w:rFonts w:cs="Arial"/>
                <w:color w:val="000000"/>
                <w:sz w:val="22"/>
                <w:szCs w:val="22"/>
              </w:rPr>
              <w:t>1,093</w:t>
            </w:r>
          </w:p>
        </w:tc>
        <w:tc>
          <w:tcPr>
            <w:tcW w:w="1134" w:type="dxa"/>
            <w:shd w:val="clear" w:color="000000" w:fill="FFFFFF"/>
            <w:vAlign w:val="center"/>
          </w:tcPr>
          <w:p w14:paraId="7634486B" w14:textId="4319AE42" w:rsidR="006E61F6" w:rsidRPr="006E61F6" w:rsidRDefault="006E61F6" w:rsidP="006E61F6">
            <w:pPr>
              <w:jc w:val="right"/>
              <w:rPr>
                <w:rFonts w:cs="Arial"/>
                <w:sz w:val="22"/>
                <w:szCs w:val="22"/>
                <w:lang w:eastAsia="en-GB"/>
              </w:rPr>
            </w:pPr>
            <w:r w:rsidRPr="006E61F6">
              <w:rPr>
                <w:rFonts w:cs="Arial"/>
                <w:color w:val="000000"/>
                <w:sz w:val="22"/>
                <w:szCs w:val="22"/>
              </w:rPr>
              <w:t> </w:t>
            </w:r>
          </w:p>
        </w:tc>
        <w:tc>
          <w:tcPr>
            <w:tcW w:w="1138" w:type="dxa"/>
            <w:shd w:val="clear" w:color="auto" w:fill="auto"/>
            <w:vAlign w:val="center"/>
          </w:tcPr>
          <w:p w14:paraId="60AB5FBD" w14:textId="2AFDB811" w:rsidR="006E61F6" w:rsidRPr="006E61F6" w:rsidRDefault="006E61F6" w:rsidP="006E61F6">
            <w:pPr>
              <w:jc w:val="right"/>
              <w:rPr>
                <w:rFonts w:cs="Arial"/>
                <w:sz w:val="22"/>
                <w:szCs w:val="22"/>
                <w:lang w:eastAsia="en-GB"/>
              </w:rPr>
            </w:pPr>
            <w:r w:rsidRPr="006E61F6">
              <w:rPr>
                <w:rFonts w:cs="Arial"/>
                <w:color w:val="000000"/>
                <w:sz w:val="22"/>
                <w:szCs w:val="22"/>
              </w:rPr>
              <w:t> </w:t>
            </w:r>
          </w:p>
        </w:tc>
        <w:tc>
          <w:tcPr>
            <w:tcW w:w="984" w:type="dxa"/>
            <w:shd w:val="clear" w:color="auto" w:fill="auto"/>
            <w:vAlign w:val="center"/>
          </w:tcPr>
          <w:p w14:paraId="1B4839B5" w14:textId="1307CEEE" w:rsidR="006E61F6" w:rsidRPr="006E61F6" w:rsidRDefault="006E61F6" w:rsidP="006E61F6">
            <w:pPr>
              <w:jc w:val="right"/>
              <w:rPr>
                <w:rFonts w:cs="Arial"/>
                <w:sz w:val="22"/>
                <w:szCs w:val="22"/>
              </w:rPr>
            </w:pPr>
            <w:r w:rsidRPr="006E61F6">
              <w:rPr>
                <w:rFonts w:cs="Arial"/>
                <w:color w:val="000000"/>
                <w:sz w:val="22"/>
                <w:szCs w:val="22"/>
              </w:rPr>
              <w:t>1,093</w:t>
            </w:r>
          </w:p>
        </w:tc>
        <w:tc>
          <w:tcPr>
            <w:tcW w:w="1194" w:type="dxa"/>
            <w:shd w:val="clear" w:color="000000" w:fill="F2F2F2"/>
            <w:vAlign w:val="center"/>
          </w:tcPr>
          <w:p w14:paraId="5E2099BC" w14:textId="10B5E521" w:rsidR="006E61F6" w:rsidRPr="006E61F6" w:rsidRDefault="006E61F6" w:rsidP="006E61F6">
            <w:pPr>
              <w:jc w:val="right"/>
              <w:rPr>
                <w:rFonts w:cs="Arial"/>
                <w:sz w:val="22"/>
                <w:szCs w:val="22"/>
              </w:rPr>
            </w:pPr>
            <w:r w:rsidRPr="006E61F6">
              <w:rPr>
                <w:rFonts w:cs="Arial"/>
                <w:color w:val="000000"/>
                <w:sz w:val="22"/>
                <w:szCs w:val="22"/>
              </w:rPr>
              <w:t>37</w:t>
            </w:r>
          </w:p>
        </w:tc>
      </w:tr>
      <w:tr w:rsidR="006E61F6" w:rsidRPr="006E61F6" w14:paraId="1AE80566" w14:textId="23B6AC72" w:rsidTr="006E61F6">
        <w:trPr>
          <w:trHeight w:hRule="exact" w:val="301"/>
        </w:trPr>
        <w:tc>
          <w:tcPr>
            <w:tcW w:w="709" w:type="dxa"/>
            <w:tcBorders>
              <w:top w:val="nil"/>
              <w:bottom w:val="nil"/>
            </w:tcBorders>
            <w:shd w:val="clear" w:color="auto" w:fill="auto"/>
            <w:vAlign w:val="center"/>
          </w:tcPr>
          <w:p w14:paraId="71FC90E4" w14:textId="201DA3CB" w:rsidR="006E61F6" w:rsidRPr="006E61F6" w:rsidRDefault="006E61F6" w:rsidP="006E61F6">
            <w:pPr>
              <w:rPr>
                <w:rFonts w:cs="Arial"/>
                <w:sz w:val="22"/>
                <w:szCs w:val="22"/>
                <w:lang w:eastAsia="en-GB"/>
              </w:rPr>
            </w:pPr>
            <w:r w:rsidRPr="006E61F6">
              <w:rPr>
                <w:rFonts w:cs="Arial"/>
                <w:color w:val="000000"/>
                <w:sz w:val="22"/>
                <w:szCs w:val="22"/>
              </w:rPr>
              <w:t> </w:t>
            </w:r>
          </w:p>
        </w:tc>
        <w:tc>
          <w:tcPr>
            <w:tcW w:w="2796" w:type="dxa"/>
            <w:shd w:val="clear" w:color="auto" w:fill="auto"/>
            <w:noWrap/>
            <w:vAlign w:val="center"/>
          </w:tcPr>
          <w:p w14:paraId="014F5E30" w14:textId="70415D12" w:rsidR="006E61F6" w:rsidRPr="006E61F6" w:rsidRDefault="006E61F6" w:rsidP="006E61F6">
            <w:pPr>
              <w:rPr>
                <w:rFonts w:cs="Arial"/>
                <w:sz w:val="22"/>
                <w:szCs w:val="22"/>
                <w:lang w:eastAsia="en-GB"/>
              </w:rPr>
            </w:pPr>
            <w:r w:rsidRPr="006E61F6">
              <w:rPr>
                <w:rFonts w:cs="Arial"/>
                <w:color w:val="000000"/>
                <w:sz w:val="22"/>
                <w:szCs w:val="22"/>
              </w:rPr>
              <w:t>Purchasing</w:t>
            </w:r>
          </w:p>
        </w:tc>
        <w:tc>
          <w:tcPr>
            <w:tcW w:w="984" w:type="dxa"/>
            <w:shd w:val="clear" w:color="000000" w:fill="FFFFFF"/>
            <w:noWrap/>
            <w:vAlign w:val="center"/>
          </w:tcPr>
          <w:p w14:paraId="5CDD0584" w14:textId="090AFED1" w:rsidR="006E61F6" w:rsidRPr="006E61F6" w:rsidRDefault="006E61F6" w:rsidP="006E61F6">
            <w:pPr>
              <w:jc w:val="right"/>
              <w:rPr>
                <w:rFonts w:cs="Arial"/>
                <w:sz w:val="22"/>
                <w:szCs w:val="22"/>
                <w:lang w:eastAsia="en-GB"/>
              </w:rPr>
            </w:pPr>
            <w:r w:rsidRPr="006E61F6">
              <w:rPr>
                <w:rFonts w:cs="Arial"/>
                <w:color w:val="000000"/>
                <w:sz w:val="22"/>
                <w:szCs w:val="22"/>
              </w:rPr>
              <w:t>46,957</w:t>
            </w:r>
          </w:p>
        </w:tc>
        <w:tc>
          <w:tcPr>
            <w:tcW w:w="1267" w:type="dxa"/>
            <w:shd w:val="clear" w:color="000000" w:fill="FFFFFF"/>
            <w:noWrap/>
            <w:vAlign w:val="center"/>
          </w:tcPr>
          <w:p w14:paraId="26298DFF" w14:textId="3AF42C1E" w:rsidR="006E61F6" w:rsidRPr="006E61F6" w:rsidRDefault="006E61F6" w:rsidP="006E61F6">
            <w:pPr>
              <w:jc w:val="right"/>
              <w:rPr>
                <w:rFonts w:cs="Arial"/>
                <w:sz w:val="22"/>
                <w:szCs w:val="22"/>
                <w:lang w:eastAsia="en-GB"/>
              </w:rPr>
            </w:pPr>
            <w:r w:rsidRPr="006E61F6">
              <w:rPr>
                <w:rFonts w:cs="Arial"/>
                <w:color w:val="000000"/>
                <w:sz w:val="22"/>
                <w:szCs w:val="22"/>
              </w:rPr>
              <w:t>45,033</w:t>
            </w:r>
          </w:p>
        </w:tc>
        <w:tc>
          <w:tcPr>
            <w:tcW w:w="1134" w:type="dxa"/>
            <w:shd w:val="clear" w:color="000000" w:fill="FFFFFF"/>
            <w:vAlign w:val="center"/>
          </w:tcPr>
          <w:p w14:paraId="233923F0" w14:textId="659909C1" w:rsidR="006E61F6" w:rsidRPr="006E61F6" w:rsidRDefault="006E61F6" w:rsidP="006E61F6">
            <w:pPr>
              <w:jc w:val="right"/>
              <w:rPr>
                <w:rFonts w:cs="Arial"/>
                <w:sz w:val="22"/>
                <w:szCs w:val="22"/>
                <w:lang w:eastAsia="en-GB"/>
              </w:rPr>
            </w:pPr>
            <w:r w:rsidRPr="006E61F6">
              <w:rPr>
                <w:rFonts w:cs="Arial"/>
                <w:color w:val="000000"/>
                <w:sz w:val="22"/>
                <w:szCs w:val="22"/>
              </w:rPr>
              <w:t>1,300</w:t>
            </w:r>
          </w:p>
        </w:tc>
        <w:tc>
          <w:tcPr>
            <w:tcW w:w="1138" w:type="dxa"/>
            <w:shd w:val="clear" w:color="auto" w:fill="auto"/>
            <w:vAlign w:val="center"/>
          </w:tcPr>
          <w:p w14:paraId="2D471471" w14:textId="5351C01E" w:rsidR="006E61F6" w:rsidRPr="006E61F6" w:rsidRDefault="006E61F6" w:rsidP="006E61F6">
            <w:pPr>
              <w:jc w:val="right"/>
              <w:rPr>
                <w:rFonts w:cs="Arial"/>
                <w:sz w:val="22"/>
                <w:szCs w:val="22"/>
                <w:lang w:eastAsia="en-GB"/>
              </w:rPr>
            </w:pPr>
            <w:r w:rsidRPr="006E61F6">
              <w:rPr>
                <w:rFonts w:cs="Arial"/>
                <w:color w:val="000000"/>
                <w:sz w:val="22"/>
                <w:szCs w:val="22"/>
              </w:rPr>
              <w:t>0</w:t>
            </w:r>
          </w:p>
        </w:tc>
        <w:tc>
          <w:tcPr>
            <w:tcW w:w="984" w:type="dxa"/>
            <w:shd w:val="clear" w:color="auto" w:fill="auto"/>
            <w:vAlign w:val="center"/>
          </w:tcPr>
          <w:p w14:paraId="2AE7A039" w14:textId="0989FB6E" w:rsidR="006E61F6" w:rsidRPr="006E61F6" w:rsidRDefault="006E61F6" w:rsidP="006E61F6">
            <w:pPr>
              <w:jc w:val="right"/>
              <w:rPr>
                <w:rFonts w:cs="Arial"/>
                <w:sz w:val="22"/>
                <w:szCs w:val="22"/>
              </w:rPr>
            </w:pPr>
            <w:r w:rsidRPr="006E61F6">
              <w:rPr>
                <w:rFonts w:cs="Arial"/>
                <w:color w:val="000000"/>
                <w:sz w:val="22"/>
                <w:szCs w:val="22"/>
              </w:rPr>
              <w:t>46,333</w:t>
            </w:r>
          </w:p>
        </w:tc>
        <w:tc>
          <w:tcPr>
            <w:tcW w:w="1194" w:type="dxa"/>
            <w:shd w:val="clear" w:color="000000" w:fill="F2F2F2"/>
            <w:vAlign w:val="center"/>
          </w:tcPr>
          <w:p w14:paraId="32026183" w14:textId="6BB2A7B4" w:rsidR="006E61F6" w:rsidRPr="006E61F6" w:rsidRDefault="006E61F6" w:rsidP="006E61F6">
            <w:pPr>
              <w:jc w:val="right"/>
              <w:rPr>
                <w:rFonts w:cs="Arial"/>
                <w:sz w:val="22"/>
                <w:szCs w:val="22"/>
              </w:rPr>
            </w:pPr>
            <w:r w:rsidRPr="006E61F6">
              <w:rPr>
                <w:rFonts w:cs="Arial"/>
                <w:color w:val="000000"/>
                <w:sz w:val="22"/>
                <w:szCs w:val="22"/>
              </w:rPr>
              <w:t>-624</w:t>
            </w:r>
          </w:p>
        </w:tc>
      </w:tr>
      <w:tr w:rsidR="006E61F6" w:rsidRPr="006E61F6" w14:paraId="0246F1BA" w14:textId="2063BF1A" w:rsidTr="006E61F6">
        <w:trPr>
          <w:trHeight w:hRule="exact" w:val="301"/>
        </w:trPr>
        <w:tc>
          <w:tcPr>
            <w:tcW w:w="709" w:type="dxa"/>
            <w:tcBorders>
              <w:top w:val="nil"/>
              <w:bottom w:val="nil"/>
            </w:tcBorders>
            <w:shd w:val="clear" w:color="auto" w:fill="auto"/>
            <w:vAlign w:val="center"/>
          </w:tcPr>
          <w:p w14:paraId="14042077" w14:textId="1700EE5B" w:rsidR="006E61F6" w:rsidRPr="006E61F6" w:rsidRDefault="006E61F6" w:rsidP="006E61F6">
            <w:pPr>
              <w:rPr>
                <w:rFonts w:cs="Arial"/>
                <w:sz w:val="22"/>
                <w:szCs w:val="22"/>
                <w:lang w:eastAsia="en-GB"/>
              </w:rPr>
            </w:pPr>
            <w:r w:rsidRPr="006E61F6">
              <w:rPr>
                <w:rFonts w:cs="Arial"/>
                <w:color w:val="000000"/>
                <w:sz w:val="22"/>
                <w:szCs w:val="22"/>
              </w:rPr>
              <w:t> </w:t>
            </w:r>
          </w:p>
        </w:tc>
        <w:tc>
          <w:tcPr>
            <w:tcW w:w="2796" w:type="dxa"/>
            <w:shd w:val="clear" w:color="auto" w:fill="auto"/>
            <w:noWrap/>
            <w:vAlign w:val="center"/>
          </w:tcPr>
          <w:p w14:paraId="7D5E3BBC" w14:textId="028DEB0D" w:rsidR="006E61F6" w:rsidRPr="006E61F6" w:rsidRDefault="006E61F6" w:rsidP="006E61F6">
            <w:pPr>
              <w:rPr>
                <w:rFonts w:cs="Arial"/>
                <w:sz w:val="22"/>
                <w:szCs w:val="22"/>
                <w:lang w:eastAsia="en-GB"/>
              </w:rPr>
            </w:pPr>
            <w:r w:rsidRPr="006E61F6">
              <w:rPr>
                <w:rFonts w:cs="Arial"/>
                <w:color w:val="000000"/>
                <w:sz w:val="22"/>
                <w:szCs w:val="22"/>
              </w:rPr>
              <w:t>Mental Health</w:t>
            </w:r>
          </w:p>
        </w:tc>
        <w:tc>
          <w:tcPr>
            <w:tcW w:w="984" w:type="dxa"/>
            <w:shd w:val="clear" w:color="000000" w:fill="FFFFFF"/>
            <w:noWrap/>
            <w:vAlign w:val="center"/>
          </w:tcPr>
          <w:p w14:paraId="23269894" w14:textId="3A55F76D" w:rsidR="006E61F6" w:rsidRPr="006E61F6" w:rsidRDefault="006E61F6" w:rsidP="006E61F6">
            <w:pPr>
              <w:jc w:val="right"/>
              <w:rPr>
                <w:rFonts w:cs="Arial"/>
                <w:sz w:val="22"/>
                <w:szCs w:val="22"/>
                <w:lang w:eastAsia="en-GB"/>
              </w:rPr>
            </w:pPr>
            <w:r w:rsidRPr="006E61F6">
              <w:rPr>
                <w:rFonts w:cs="Arial"/>
                <w:color w:val="000000"/>
                <w:sz w:val="22"/>
                <w:szCs w:val="22"/>
              </w:rPr>
              <w:t>5,943</w:t>
            </w:r>
          </w:p>
        </w:tc>
        <w:tc>
          <w:tcPr>
            <w:tcW w:w="1267" w:type="dxa"/>
            <w:shd w:val="clear" w:color="000000" w:fill="FFFFFF"/>
            <w:noWrap/>
            <w:vAlign w:val="center"/>
          </w:tcPr>
          <w:p w14:paraId="1AB83438" w14:textId="5491DEA1" w:rsidR="006E61F6" w:rsidRPr="006E61F6" w:rsidRDefault="006E61F6" w:rsidP="006E61F6">
            <w:pPr>
              <w:jc w:val="right"/>
              <w:rPr>
                <w:rFonts w:cs="Arial"/>
                <w:sz w:val="22"/>
                <w:szCs w:val="22"/>
                <w:lang w:eastAsia="en-GB"/>
              </w:rPr>
            </w:pPr>
            <w:r w:rsidRPr="006E61F6">
              <w:rPr>
                <w:rFonts w:cs="Arial"/>
                <w:color w:val="000000"/>
                <w:sz w:val="22"/>
                <w:szCs w:val="22"/>
              </w:rPr>
              <w:t>5,782</w:t>
            </w:r>
          </w:p>
        </w:tc>
        <w:tc>
          <w:tcPr>
            <w:tcW w:w="1134" w:type="dxa"/>
            <w:shd w:val="clear" w:color="000000" w:fill="FFFFFF"/>
            <w:vAlign w:val="center"/>
          </w:tcPr>
          <w:p w14:paraId="594A0D31" w14:textId="30AF4A0E" w:rsidR="006E61F6" w:rsidRPr="006E61F6" w:rsidRDefault="006E61F6" w:rsidP="006E61F6">
            <w:pPr>
              <w:jc w:val="right"/>
              <w:rPr>
                <w:rFonts w:cs="Arial"/>
                <w:sz w:val="22"/>
                <w:szCs w:val="22"/>
                <w:lang w:eastAsia="en-GB"/>
              </w:rPr>
            </w:pPr>
            <w:r w:rsidRPr="006E61F6">
              <w:rPr>
                <w:rFonts w:cs="Arial"/>
                <w:color w:val="000000"/>
                <w:sz w:val="22"/>
                <w:szCs w:val="22"/>
              </w:rPr>
              <w:t>0</w:t>
            </w:r>
          </w:p>
        </w:tc>
        <w:tc>
          <w:tcPr>
            <w:tcW w:w="1138" w:type="dxa"/>
            <w:shd w:val="clear" w:color="auto" w:fill="auto"/>
            <w:vAlign w:val="center"/>
          </w:tcPr>
          <w:p w14:paraId="6BB7B927" w14:textId="717C078A" w:rsidR="006E61F6" w:rsidRPr="006E61F6" w:rsidRDefault="006E61F6" w:rsidP="006E61F6">
            <w:pPr>
              <w:jc w:val="right"/>
              <w:rPr>
                <w:rFonts w:cs="Arial"/>
                <w:sz w:val="22"/>
                <w:szCs w:val="22"/>
                <w:lang w:eastAsia="en-GB"/>
              </w:rPr>
            </w:pPr>
            <w:r w:rsidRPr="006E61F6">
              <w:rPr>
                <w:rFonts w:cs="Arial"/>
                <w:color w:val="000000"/>
                <w:sz w:val="22"/>
                <w:szCs w:val="22"/>
              </w:rPr>
              <w:t> </w:t>
            </w:r>
          </w:p>
        </w:tc>
        <w:tc>
          <w:tcPr>
            <w:tcW w:w="984" w:type="dxa"/>
            <w:shd w:val="clear" w:color="auto" w:fill="auto"/>
            <w:vAlign w:val="center"/>
          </w:tcPr>
          <w:p w14:paraId="2C2F6966" w14:textId="57B12CDA" w:rsidR="006E61F6" w:rsidRPr="006E61F6" w:rsidRDefault="006E61F6" w:rsidP="006E61F6">
            <w:pPr>
              <w:jc w:val="right"/>
              <w:rPr>
                <w:rFonts w:cs="Arial"/>
                <w:sz w:val="22"/>
                <w:szCs w:val="22"/>
              </w:rPr>
            </w:pPr>
            <w:r w:rsidRPr="006E61F6">
              <w:rPr>
                <w:rFonts w:cs="Arial"/>
                <w:color w:val="000000"/>
                <w:sz w:val="22"/>
                <w:szCs w:val="22"/>
              </w:rPr>
              <w:t>5,782</w:t>
            </w:r>
          </w:p>
        </w:tc>
        <w:tc>
          <w:tcPr>
            <w:tcW w:w="1194" w:type="dxa"/>
            <w:shd w:val="clear" w:color="000000" w:fill="F2F2F2"/>
            <w:vAlign w:val="center"/>
          </w:tcPr>
          <w:p w14:paraId="2DA6FA20" w14:textId="395A1785" w:rsidR="006E61F6" w:rsidRPr="006E61F6" w:rsidRDefault="006E61F6" w:rsidP="006E61F6">
            <w:pPr>
              <w:jc w:val="right"/>
              <w:rPr>
                <w:rFonts w:cs="Arial"/>
                <w:sz w:val="22"/>
                <w:szCs w:val="22"/>
              </w:rPr>
            </w:pPr>
            <w:r w:rsidRPr="006E61F6">
              <w:rPr>
                <w:rFonts w:cs="Arial"/>
                <w:color w:val="000000"/>
                <w:sz w:val="22"/>
                <w:szCs w:val="22"/>
              </w:rPr>
              <w:t>-161</w:t>
            </w:r>
          </w:p>
        </w:tc>
      </w:tr>
      <w:tr w:rsidR="006E61F6" w:rsidRPr="006E61F6" w14:paraId="5D1FA6C6" w14:textId="77777777" w:rsidTr="006E61F6">
        <w:trPr>
          <w:trHeight w:hRule="exact" w:val="301"/>
        </w:trPr>
        <w:tc>
          <w:tcPr>
            <w:tcW w:w="709" w:type="dxa"/>
            <w:tcBorders>
              <w:top w:val="nil"/>
              <w:bottom w:val="nil"/>
            </w:tcBorders>
            <w:shd w:val="clear" w:color="auto" w:fill="auto"/>
            <w:vAlign w:val="center"/>
          </w:tcPr>
          <w:p w14:paraId="02882297" w14:textId="2DE49592" w:rsidR="006E61F6" w:rsidRPr="006E61F6" w:rsidRDefault="006E61F6" w:rsidP="006E61F6">
            <w:pPr>
              <w:rPr>
                <w:sz w:val="22"/>
                <w:szCs w:val="22"/>
              </w:rPr>
            </w:pPr>
            <w:r w:rsidRPr="006E61F6">
              <w:rPr>
                <w:rFonts w:cs="Arial"/>
                <w:color w:val="000000"/>
                <w:sz w:val="22"/>
                <w:szCs w:val="22"/>
              </w:rPr>
              <w:t> </w:t>
            </w:r>
          </w:p>
        </w:tc>
        <w:tc>
          <w:tcPr>
            <w:tcW w:w="2796" w:type="dxa"/>
            <w:shd w:val="clear" w:color="auto" w:fill="auto"/>
            <w:noWrap/>
            <w:vAlign w:val="center"/>
          </w:tcPr>
          <w:p w14:paraId="3BA39DD9" w14:textId="74B13468" w:rsidR="006E61F6" w:rsidRPr="006E61F6" w:rsidRDefault="006E61F6" w:rsidP="006E61F6">
            <w:pPr>
              <w:rPr>
                <w:sz w:val="22"/>
                <w:szCs w:val="22"/>
              </w:rPr>
            </w:pPr>
            <w:r w:rsidRPr="006E61F6">
              <w:rPr>
                <w:rFonts w:cs="Arial"/>
                <w:color w:val="000000"/>
                <w:sz w:val="22"/>
                <w:szCs w:val="22"/>
              </w:rPr>
              <w:t>Other Adults</w:t>
            </w:r>
          </w:p>
        </w:tc>
        <w:tc>
          <w:tcPr>
            <w:tcW w:w="984" w:type="dxa"/>
            <w:shd w:val="clear" w:color="000000" w:fill="FFFFFF"/>
            <w:noWrap/>
            <w:vAlign w:val="center"/>
          </w:tcPr>
          <w:p w14:paraId="0EEB6102" w14:textId="4D3468F9" w:rsidR="006E61F6" w:rsidRPr="006E61F6" w:rsidRDefault="006E61F6" w:rsidP="006E61F6">
            <w:pPr>
              <w:jc w:val="right"/>
              <w:rPr>
                <w:sz w:val="22"/>
                <w:szCs w:val="22"/>
              </w:rPr>
            </w:pPr>
            <w:r w:rsidRPr="006E61F6">
              <w:rPr>
                <w:rFonts w:cs="Arial"/>
                <w:color w:val="000000"/>
                <w:sz w:val="22"/>
                <w:szCs w:val="22"/>
              </w:rPr>
              <w:t>12,127</w:t>
            </w:r>
          </w:p>
        </w:tc>
        <w:tc>
          <w:tcPr>
            <w:tcW w:w="1267" w:type="dxa"/>
            <w:shd w:val="clear" w:color="000000" w:fill="FFFFFF"/>
            <w:noWrap/>
            <w:vAlign w:val="center"/>
          </w:tcPr>
          <w:p w14:paraId="76F545AB" w14:textId="6EAC0793" w:rsidR="006E61F6" w:rsidRPr="006E61F6" w:rsidRDefault="006E61F6" w:rsidP="006E61F6">
            <w:pPr>
              <w:jc w:val="right"/>
              <w:rPr>
                <w:sz w:val="22"/>
                <w:szCs w:val="22"/>
              </w:rPr>
            </w:pPr>
            <w:r w:rsidRPr="006E61F6">
              <w:rPr>
                <w:rFonts w:cs="Arial"/>
                <w:color w:val="000000"/>
                <w:sz w:val="22"/>
                <w:szCs w:val="22"/>
              </w:rPr>
              <w:t>12,452</w:t>
            </w:r>
          </w:p>
        </w:tc>
        <w:tc>
          <w:tcPr>
            <w:tcW w:w="1134" w:type="dxa"/>
            <w:shd w:val="clear" w:color="000000" w:fill="FFFFFF"/>
            <w:vAlign w:val="center"/>
          </w:tcPr>
          <w:p w14:paraId="3A7E96F3" w14:textId="58AB7A8D" w:rsidR="006E61F6" w:rsidRPr="006E61F6" w:rsidRDefault="006E61F6" w:rsidP="006E61F6">
            <w:pPr>
              <w:jc w:val="right"/>
              <w:rPr>
                <w:sz w:val="22"/>
                <w:szCs w:val="22"/>
              </w:rPr>
            </w:pPr>
            <w:r w:rsidRPr="006E61F6">
              <w:rPr>
                <w:rFonts w:cs="Arial"/>
                <w:color w:val="000000"/>
                <w:sz w:val="22"/>
                <w:szCs w:val="22"/>
              </w:rPr>
              <w:t>0</w:t>
            </w:r>
          </w:p>
        </w:tc>
        <w:tc>
          <w:tcPr>
            <w:tcW w:w="1138" w:type="dxa"/>
            <w:shd w:val="clear" w:color="auto" w:fill="auto"/>
            <w:vAlign w:val="center"/>
          </w:tcPr>
          <w:p w14:paraId="2571BC6C" w14:textId="039F9288" w:rsidR="006E61F6" w:rsidRPr="006E61F6" w:rsidRDefault="006E61F6" w:rsidP="006E61F6">
            <w:pPr>
              <w:jc w:val="right"/>
              <w:rPr>
                <w:sz w:val="22"/>
                <w:szCs w:val="22"/>
              </w:rPr>
            </w:pPr>
            <w:r w:rsidRPr="006E61F6">
              <w:rPr>
                <w:rFonts w:cs="Arial"/>
                <w:color w:val="000000"/>
                <w:sz w:val="22"/>
                <w:szCs w:val="22"/>
              </w:rPr>
              <w:t>0</w:t>
            </w:r>
          </w:p>
        </w:tc>
        <w:tc>
          <w:tcPr>
            <w:tcW w:w="984" w:type="dxa"/>
            <w:shd w:val="clear" w:color="auto" w:fill="auto"/>
            <w:vAlign w:val="center"/>
          </w:tcPr>
          <w:p w14:paraId="17565467" w14:textId="74193774" w:rsidR="006E61F6" w:rsidRPr="006E61F6" w:rsidRDefault="006E61F6" w:rsidP="006E61F6">
            <w:pPr>
              <w:jc w:val="right"/>
              <w:rPr>
                <w:sz w:val="22"/>
                <w:szCs w:val="22"/>
              </w:rPr>
            </w:pPr>
            <w:r w:rsidRPr="006E61F6">
              <w:rPr>
                <w:rFonts w:cs="Arial"/>
                <w:color w:val="000000"/>
                <w:sz w:val="22"/>
                <w:szCs w:val="22"/>
              </w:rPr>
              <w:t>12,452</w:t>
            </w:r>
          </w:p>
        </w:tc>
        <w:tc>
          <w:tcPr>
            <w:tcW w:w="1194" w:type="dxa"/>
            <w:shd w:val="clear" w:color="000000" w:fill="F2F2F2"/>
            <w:vAlign w:val="center"/>
          </w:tcPr>
          <w:p w14:paraId="65F0ACBC" w14:textId="428D5361" w:rsidR="006E61F6" w:rsidRPr="006E61F6" w:rsidRDefault="006E61F6" w:rsidP="006E61F6">
            <w:pPr>
              <w:jc w:val="right"/>
              <w:rPr>
                <w:sz w:val="22"/>
                <w:szCs w:val="22"/>
              </w:rPr>
            </w:pPr>
            <w:r w:rsidRPr="006E61F6">
              <w:rPr>
                <w:rFonts w:cs="Arial"/>
                <w:color w:val="000000"/>
                <w:sz w:val="22"/>
                <w:szCs w:val="22"/>
              </w:rPr>
              <w:t>325</w:t>
            </w:r>
          </w:p>
        </w:tc>
      </w:tr>
      <w:tr w:rsidR="006E61F6" w:rsidRPr="006E61F6" w14:paraId="5B7CA920" w14:textId="77777777" w:rsidTr="006E61F6">
        <w:trPr>
          <w:trHeight w:hRule="exact" w:val="301"/>
        </w:trPr>
        <w:tc>
          <w:tcPr>
            <w:tcW w:w="709" w:type="dxa"/>
            <w:tcBorders>
              <w:top w:val="nil"/>
            </w:tcBorders>
            <w:shd w:val="clear" w:color="auto" w:fill="auto"/>
            <w:vAlign w:val="center"/>
          </w:tcPr>
          <w:p w14:paraId="5687AA12" w14:textId="146EF213" w:rsidR="006E61F6" w:rsidRPr="006E61F6" w:rsidRDefault="006E61F6" w:rsidP="006E61F6">
            <w:pPr>
              <w:rPr>
                <w:sz w:val="22"/>
                <w:szCs w:val="22"/>
              </w:rPr>
            </w:pPr>
            <w:r w:rsidRPr="006E61F6">
              <w:rPr>
                <w:rFonts w:cs="Arial"/>
                <w:color w:val="000000"/>
                <w:sz w:val="22"/>
                <w:szCs w:val="22"/>
              </w:rPr>
              <w:t> </w:t>
            </w:r>
          </w:p>
        </w:tc>
        <w:tc>
          <w:tcPr>
            <w:tcW w:w="2796" w:type="dxa"/>
            <w:shd w:val="clear" w:color="auto" w:fill="auto"/>
            <w:noWrap/>
            <w:vAlign w:val="center"/>
          </w:tcPr>
          <w:p w14:paraId="2D945B1E" w14:textId="393E4C46" w:rsidR="006E61F6" w:rsidRPr="006E61F6" w:rsidRDefault="006E61F6" w:rsidP="006E61F6">
            <w:pPr>
              <w:rPr>
                <w:sz w:val="22"/>
                <w:szCs w:val="22"/>
              </w:rPr>
            </w:pPr>
            <w:r w:rsidRPr="006E61F6">
              <w:rPr>
                <w:rFonts w:cs="Arial"/>
                <w:color w:val="000000"/>
                <w:sz w:val="22"/>
                <w:szCs w:val="22"/>
              </w:rPr>
              <w:t>In House Services</w:t>
            </w:r>
          </w:p>
        </w:tc>
        <w:tc>
          <w:tcPr>
            <w:tcW w:w="984" w:type="dxa"/>
            <w:shd w:val="clear" w:color="000000" w:fill="FFFFFF"/>
            <w:noWrap/>
            <w:vAlign w:val="center"/>
          </w:tcPr>
          <w:p w14:paraId="2F785AED" w14:textId="2600DDB1" w:rsidR="006E61F6" w:rsidRPr="006E61F6" w:rsidRDefault="006E61F6" w:rsidP="006E61F6">
            <w:pPr>
              <w:jc w:val="right"/>
              <w:rPr>
                <w:sz w:val="22"/>
                <w:szCs w:val="22"/>
              </w:rPr>
            </w:pPr>
            <w:r w:rsidRPr="006E61F6">
              <w:rPr>
                <w:rFonts w:cs="Arial"/>
                <w:color w:val="000000"/>
                <w:sz w:val="22"/>
                <w:szCs w:val="22"/>
              </w:rPr>
              <w:t>5,340</w:t>
            </w:r>
          </w:p>
        </w:tc>
        <w:tc>
          <w:tcPr>
            <w:tcW w:w="1267" w:type="dxa"/>
            <w:shd w:val="clear" w:color="000000" w:fill="FFFFFF"/>
            <w:noWrap/>
            <w:vAlign w:val="center"/>
          </w:tcPr>
          <w:p w14:paraId="37450573" w14:textId="0A4594FD" w:rsidR="006E61F6" w:rsidRPr="006E61F6" w:rsidRDefault="006E61F6" w:rsidP="006E61F6">
            <w:pPr>
              <w:jc w:val="right"/>
              <w:rPr>
                <w:sz w:val="22"/>
                <w:szCs w:val="22"/>
              </w:rPr>
            </w:pPr>
            <w:r w:rsidRPr="006E61F6">
              <w:rPr>
                <w:rFonts w:cs="Arial"/>
                <w:color w:val="000000"/>
                <w:sz w:val="22"/>
                <w:szCs w:val="22"/>
              </w:rPr>
              <w:t>4,641</w:t>
            </w:r>
          </w:p>
        </w:tc>
        <w:tc>
          <w:tcPr>
            <w:tcW w:w="1134" w:type="dxa"/>
            <w:shd w:val="clear" w:color="000000" w:fill="FFFFFF"/>
            <w:vAlign w:val="center"/>
          </w:tcPr>
          <w:p w14:paraId="6DEECDF6" w14:textId="2A715E8A" w:rsidR="006E61F6" w:rsidRPr="006E61F6" w:rsidRDefault="006E61F6" w:rsidP="006E61F6">
            <w:pPr>
              <w:jc w:val="right"/>
              <w:rPr>
                <w:sz w:val="22"/>
                <w:szCs w:val="22"/>
              </w:rPr>
            </w:pPr>
            <w:r w:rsidRPr="006E61F6">
              <w:rPr>
                <w:rFonts w:cs="Arial"/>
                <w:color w:val="000000"/>
                <w:sz w:val="22"/>
                <w:szCs w:val="22"/>
              </w:rPr>
              <w:t>0</w:t>
            </w:r>
          </w:p>
        </w:tc>
        <w:tc>
          <w:tcPr>
            <w:tcW w:w="1138" w:type="dxa"/>
            <w:shd w:val="clear" w:color="auto" w:fill="auto"/>
            <w:vAlign w:val="center"/>
          </w:tcPr>
          <w:p w14:paraId="7D60579D" w14:textId="07F21E74" w:rsidR="006E61F6" w:rsidRPr="006E61F6" w:rsidRDefault="006E61F6" w:rsidP="006E61F6">
            <w:pPr>
              <w:jc w:val="right"/>
              <w:rPr>
                <w:sz w:val="22"/>
                <w:szCs w:val="22"/>
              </w:rPr>
            </w:pPr>
            <w:r w:rsidRPr="006E61F6">
              <w:rPr>
                <w:rFonts w:cs="Arial"/>
                <w:color w:val="000000"/>
                <w:sz w:val="22"/>
                <w:szCs w:val="22"/>
              </w:rPr>
              <w:t>72</w:t>
            </w:r>
          </w:p>
        </w:tc>
        <w:tc>
          <w:tcPr>
            <w:tcW w:w="984" w:type="dxa"/>
            <w:shd w:val="clear" w:color="auto" w:fill="auto"/>
            <w:vAlign w:val="center"/>
          </w:tcPr>
          <w:p w14:paraId="740E2EF9" w14:textId="48D7ABF2" w:rsidR="006E61F6" w:rsidRPr="006E61F6" w:rsidRDefault="006E61F6" w:rsidP="006E61F6">
            <w:pPr>
              <w:jc w:val="right"/>
              <w:rPr>
                <w:sz w:val="22"/>
                <w:szCs w:val="22"/>
              </w:rPr>
            </w:pPr>
            <w:r w:rsidRPr="006E61F6">
              <w:rPr>
                <w:rFonts w:cs="Arial"/>
                <w:color w:val="000000"/>
                <w:sz w:val="22"/>
                <w:szCs w:val="22"/>
              </w:rPr>
              <w:t>4,712</w:t>
            </w:r>
          </w:p>
        </w:tc>
        <w:tc>
          <w:tcPr>
            <w:tcW w:w="1194" w:type="dxa"/>
            <w:shd w:val="clear" w:color="000000" w:fill="F2F2F2"/>
            <w:vAlign w:val="center"/>
          </w:tcPr>
          <w:p w14:paraId="5F2CF9EC" w14:textId="44C416B8" w:rsidR="006E61F6" w:rsidRPr="006E61F6" w:rsidRDefault="006E61F6" w:rsidP="006E61F6">
            <w:pPr>
              <w:jc w:val="right"/>
              <w:rPr>
                <w:sz w:val="22"/>
                <w:szCs w:val="22"/>
              </w:rPr>
            </w:pPr>
            <w:r w:rsidRPr="006E61F6">
              <w:rPr>
                <w:rFonts w:cs="Arial"/>
                <w:color w:val="000000"/>
                <w:sz w:val="22"/>
                <w:szCs w:val="22"/>
              </w:rPr>
              <w:t>-628</w:t>
            </w:r>
          </w:p>
        </w:tc>
      </w:tr>
      <w:tr w:rsidR="006E61F6" w:rsidRPr="006E61F6" w14:paraId="47D711CF" w14:textId="77777777" w:rsidTr="006E61F6">
        <w:trPr>
          <w:trHeight w:hRule="exact" w:val="301"/>
        </w:trPr>
        <w:tc>
          <w:tcPr>
            <w:tcW w:w="3505" w:type="dxa"/>
            <w:gridSpan w:val="2"/>
            <w:shd w:val="clear" w:color="auto" w:fill="auto"/>
            <w:vAlign w:val="center"/>
          </w:tcPr>
          <w:p w14:paraId="00CFEEE1" w14:textId="168DD168" w:rsidR="006E61F6" w:rsidRPr="006E61F6" w:rsidRDefault="006E61F6" w:rsidP="006E61F6">
            <w:pPr>
              <w:rPr>
                <w:sz w:val="22"/>
                <w:szCs w:val="22"/>
              </w:rPr>
            </w:pPr>
            <w:r w:rsidRPr="006E61F6">
              <w:rPr>
                <w:rFonts w:cs="Arial"/>
                <w:b/>
                <w:bCs/>
                <w:color w:val="000000"/>
                <w:sz w:val="22"/>
                <w:szCs w:val="22"/>
              </w:rPr>
              <w:t>Adults Total</w:t>
            </w:r>
          </w:p>
        </w:tc>
        <w:tc>
          <w:tcPr>
            <w:tcW w:w="984" w:type="dxa"/>
            <w:shd w:val="clear" w:color="000000" w:fill="FFFFFF"/>
            <w:noWrap/>
            <w:vAlign w:val="center"/>
          </w:tcPr>
          <w:p w14:paraId="440BD381" w14:textId="2760750C" w:rsidR="006E61F6" w:rsidRPr="006E61F6" w:rsidRDefault="006E61F6" w:rsidP="006E61F6">
            <w:pPr>
              <w:jc w:val="right"/>
              <w:rPr>
                <w:sz w:val="22"/>
                <w:szCs w:val="22"/>
              </w:rPr>
            </w:pPr>
            <w:r w:rsidRPr="006E61F6">
              <w:rPr>
                <w:rFonts w:cs="Arial"/>
                <w:b/>
                <w:bCs/>
                <w:color w:val="000000"/>
                <w:sz w:val="22"/>
                <w:szCs w:val="22"/>
              </w:rPr>
              <w:t>71,424</w:t>
            </w:r>
          </w:p>
        </w:tc>
        <w:tc>
          <w:tcPr>
            <w:tcW w:w="1267" w:type="dxa"/>
            <w:shd w:val="clear" w:color="000000" w:fill="FFFFFF"/>
            <w:noWrap/>
            <w:vAlign w:val="center"/>
          </w:tcPr>
          <w:p w14:paraId="14BDC453" w14:textId="3A770C73" w:rsidR="006E61F6" w:rsidRPr="006E61F6" w:rsidRDefault="006E61F6" w:rsidP="006E61F6">
            <w:pPr>
              <w:jc w:val="right"/>
              <w:rPr>
                <w:sz w:val="22"/>
                <w:szCs w:val="22"/>
              </w:rPr>
            </w:pPr>
            <w:r w:rsidRPr="006E61F6">
              <w:rPr>
                <w:rFonts w:cs="Arial"/>
                <w:b/>
                <w:bCs/>
                <w:color w:val="000000"/>
                <w:sz w:val="22"/>
                <w:szCs w:val="22"/>
              </w:rPr>
              <w:t>69,000</w:t>
            </w:r>
          </w:p>
        </w:tc>
        <w:tc>
          <w:tcPr>
            <w:tcW w:w="1134" w:type="dxa"/>
            <w:shd w:val="clear" w:color="000000" w:fill="FFFFFF"/>
            <w:vAlign w:val="center"/>
          </w:tcPr>
          <w:p w14:paraId="4F215588" w14:textId="04257AE0" w:rsidR="006E61F6" w:rsidRPr="006E61F6" w:rsidRDefault="006E61F6" w:rsidP="006E61F6">
            <w:pPr>
              <w:jc w:val="right"/>
              <w:rPr>
                <w:sz w:val="22"/>
                <w:szCs w:val="22"/>
              </w:rPr>
            </w:pPr>
            <w:r w:rsidRPr="006E61F6">
              <w:rPr>
                <w:rFonts w:cs="Arial"/>
                <w:b/>
                <w:bCs/>
                <w:color w:val="000000"/>
                <w:sz w:val="22"/>
                <w:szCs w:val="22"/>
              </w:rPr>
              <w:t>1,300</w:t>
            </w:r>
          </w:p>
        </w:tc>
        <w:tc>
          <w:tcPr>
            <w:tcW w:w="1138" w:type="dxa"/>
            <w:shd w:val="clear" w:color="auto" w:fill="auto"/>
            <w:vAlign w:val="center"/>
          </w:tcPr>
          <w:p w14:paraId="4CDB10C8" w14:textId="2384DF18" w:rsidR="006E61F6" w:rsidRPr="006E61F6" w:rsidRDefault="006E61F6" w:rsidP="006E61F6">
            <w:pPr>
              <w:jc w:val="right"/>
              <w:rPr>
                <w:sz w:val="22"/>
                <w:szCs w:val="22"/>
              </w:rPr>
            </w:pPr>
            <w:r w:rsidRPr="006E61F6">
              <w:rPr>
                <w:rFonts w:cs="Arial"/>
                <w:b/>
                <w:bCs/>
                <w:color w:val="000000"/>
                <w:sz w:val="22"/>
                <w:szCs w:val="22"/>
              </w:rPr>
              <w:t>72</w:t>
            </w:r>
          </w:p>
        </w:tc>
        <w:tc>
          <w:tcPr>
            <w:tcW w:w="984" w:type="dxa"/>
            <w:shd w:val="clear" w:color="auto" w:fill="auto"/>
            <w:vAlign w:val="center"/>
          </w:tcPr>
          <w:p w14:paraId="0B1FA259" w14:textId="3CE9CD09" w:rsidR="006E61F6" w:rsidRPr="006E61F6" w:rsidRDefault="006E61F6" w:rsidP="006E61F6">
            <w:pPr>
              <w:jc w:val="right"/>
              <w:rPr>
                <w:sz w:val="22"/>
                <w:szCs w:val="22"/>
              </w:rPr>
            </w:pPr>
            <w:r w:rsidRPr="006E61F6">
              <w:rPr>
                <w:rFonts w:cs="Arial"/>
                <w:b/>
                <w:bCs/>
                <w:color w:val="000000"/>
                <w:sz w:val="22"/>
                <w:szCs w:val="22"/>
              </w:rPr>
              <w:t>70,372</w:t>
            </w:r>
          </w:p>
        </w:tc>
        <w:tc>
          <w:tcPr>
            <w:tcW w:w="1194" w:type="dxa"/>
            <w:shd w:val="clear" w:color="000000" w:fill="F2F2F2"/>
            <w:vAlign w:val="center"/>
          </w:tcPr>
          <w:p w14:paraId="57A3F411" w14:textId="6F712BED" w:rsidR="006E61F6" w:rsidRPr="006E61F6" w:rsidRDefault="006E61F6" w:rsidP="006E61F6">
            <w:pPr>
              <w:jc w:val="right"/>
              <w:rPr>
                <w:sz w:val="22"/>
                <w:szCs w:val="22"/>
              </w:rPr>
            </w:pPr>
            <w:r w:rsidRPr="006E61F6">
              <w:rPr>
                <w:rFonts w:cs="Arial"/>
                <w:b/>
                <w:bCs/>
                <w:color w:val="000000"/>
                <w:sz w:val="22"/>
                <w:szCs w:val="22"/>
              </w:rPr>
              <w:t>-1,052</w:t>
            </w:r>
          </w:p>
        </w:tc>
      </w:tr>
      <w:tr w:rsidR="006E61F6" w:rsidRPr="006E61F6" w14:paraId="46797874" w14:textId="77777777" w:rsidTr="006E61F6">
        <w:trPr>
          <w:trHeight w:hRule="exact" w:val="301"/>
        </w:trPr>
        <w:tc>
          <w:tcPr>
            <w:tcW w:w="3505" w:type="dxa"/>
            <w:gridSpan w:val="2"/>
            <w:shd w:val="clear" w:color="auto" w:fill="auto"/>
            <w:vAlign w:val="center"/>
          </w:tcPr>
          <w:p w14:paraId="374E4871" w14:textId="51C05CE3" w:rsidR="006E61F6" w:rsidRPr="006E61F6" w:rsidRDefault="006E61F6" w:rsidP="006E61F6">
            <w:pPr>
              <w:rPr>
                <w:sz w:val="22"/>
                <w:szCs w:val="22"/>
              </w:rPr>
            </w:pPr>
            <w:r w:rsidRPr="006E61F6">
              <w:rPr>
                <w:rFonts w:cs="Arial"/>
                <w:b/>
                <w:bCs/>
                <w:color w:val="000000"/>
                <w:sz w:val="22"/>
                <w:szCs w:val="22"/>
              </w:rPr>
              <w:t>Public Health</w:t>
            </w:r>
            <w:r>
              <w:rPr>
                <w:rFonts w:cs="Arial"/>
                <w:b/>
                <w:bCs/>
                <w:color w:val="000000"/>
                <w:sz w:val="22"/>
                <w:szCs w:val="22"/>
              </w:rPr>
              <w:t xml:space="preserve"> Total</w:t>
            </w:r>
          </w:p>
          <w:p w14:paraId="150852B0" w14:textId="495E0763" w:rsidR="006E61F6" w:rsidRPr="006E61F6" w:rsidRDefault="006E61F6" w:rsidP="006E61F6">
            <w:pPr>
              <w:rPr>
                <w:sz w:val="22"/>
                <w:szCs w:val="22"/>
              </w:rPr>
            </w:pPr>
            <w:r w:rsidRPr="006E61F6">
              <w:rPr>
                <w:rFonts w:cs="Arial"/>
                <w:b/>
                <w:bCs/>
                <w:color w:val="000000"/>
                <w:sz w:val="22"/>
                <w:szCs w:val="22"/>
              </w:rPr>
              <w:t> </w:t>
            </w:r>
          </w:p>
        </w:tc>
        <w:tc>
          <w:tcPr>
            <w:tcW w:w="984" w:type="dxa"/>
            <w:shd w:val="clear" w:color="000000" w:fill="FFFFFF"/>
            <w:noWrap/>
            <w:vAlign w:val="center"/>
          </w:tcPr>
          <w:p w14:paraId="7B58E9C6" w14:textId="73975533" w:rsidR="006E61F6" w:rsidRPr="006E61F6" w:rsidRDefault="006E61F6" w:rsidP="006E61F6">
            <w:pPr>
              <w:jc w:val="right"/>
              <w:rPr>
                <w:sz w:val="22"/>
                <w:szCs w:val="22"/>
              </w:rPr>
            </w:pPr>
            <w:r w:rsidRPr="006E61F6">
              <w:rPr>
                <w:rFonts w:cs="Arial"/>
                <w:b/>
                <w:bCs/>
                <w:sz w:val="22"/>
                <w:szCs w:val="22"/>
              </w:rPr>
              <w:t>-131</w:t>
            </w:r>
          </w:p>
        </w:tc>
        <w:tc>
          <w:tcPr>
            <w:tcW w:w="1267" w:type="dxa"/>
            <w:shd w:val="clear" w:color="000000" w:fill="FFFFFF"/>
            <w:noWrap/>
            <w:vAlign w:val="center"/>
          </w:tcPr>
          <w:p w14:paraId="1D0D47D8" w14:textId="0FAC8D87" w:rsidR="006E61F6" w:rsidRPr="006E61F6" w:rsidRDefault="006E61F6" w:rsidP="006E61F6">
            <w:pPr>
              <w:jc w:val="right"/>
              <w:rPr>
                <w:sz w:val="22"/>
                <w:szCs w:val="22"/>
              </w:rPr>
            </w:pPr>
            <w:r w:rsidRPr="006E61F6">
              <w:rPr>
                <w:rFonts w:cs="Arial"/>
                <w:b/>
                <w:bCs/>
                <w:sz w:val="22"/>
                <w:szCs w:val="22"/>
              </w:rPr>
              <w:t>-433</w:t>
            </w:r>
          </w:p>
        </w:tc>
        <w:tc>
          <w:tcPr>
            <w:tcW w:w="1134" w:type="dxa"/>
            <w:shd w:val="clear" w:color="000000" w:fill="FFFFFF"/>
            <w:vAlign w:val="center"/>
          </w:tcPr>
          <w:p w14:paraId="2189E723" w14:textId="69BE1B3A" w:rsidR="006E61F6" w:rsidRPr="006E61F6" w:rsidRDefault="006E61F6" w:rsidP="006E61F6">
            <w:pPr>
              <w:jc w:val="right"/>
              <w:rPr>
                <w:sz w:val="22"/>
                <w:szCs w:val="22"/>
              </w:rPr>
            </w:pPr>
            <w:r w:rsidRPr="006E61F6">
              <w:rPr>
                <w:rFonts w:cs="Arial"/>
                <w:b/>
                <w:bCs/>
                <w:sz w:val="22"/>
                <w:szCs w:val="22"/>
              </w:rPr>
              <w:t>302</w:t>
            </w:r>
          </w:p>
        </w:tc>
        <w:tc>
          <w:tcPr>
            <w:tcW w:w="1138" w:type="dxa"/>
            <w:shd w:val="clear" w:color="000000" w:fill="FFFFFF"/>
            <w:vAlign w:val="center"/>
          </w:tcPr>
          <w:p w14:paraId="4274EFFF" w14:textId="4DB9B773" w:rsidR="006E61F6" w:rsidRPr="006E61F6" w:rsidRDefault="006E61F6" w:rsidP="006E61F6">
            <w:pPr>
              <w:jc w:val="right"/>
              <w:rPr>
                <w:sz w:val="22"/>
                <w:szCs w:val="22"/>
              </w:rPr>
            </w:pPr>
            <w:r w:rsidRPr="006E61F6">
              <w:rPr>
                <w:rFonts w:cs="Arial"/>
                <w:b/>
                <w:bCs/>
                <w:sz w:val="22"/>
                <w:szCs w:val="22"/>
              </w:rPr>
              <w:t>0</w:t>
            </w:r>
          </w:p>
        </w:tc>
        <w:tc>
          <w:tcPr>
            <w:tcW w:w="984" w:type="dxa"/>
            <w:shd w:val="clear" w:color="auto" w:fill="auto"/>
            <w:vAlign w:val="center"/>
          </w:tcPr>
          <w:p w14:paraId="1B27F204" w14:textId="16418469" w:rsidR="006E61F6" w:rsidRPr="006E61F6" w:rsidRDefault="006E61F6" w:rsidP="006E61F6">
            <w:pPr>
              <w:jc w:val="right"/>
              <w:rPr>
                <w:sz w:val="22"/>
                <w:szCs w:val="22"/>
              </w:rPr>
            </w:pPr>
            <w:r w:rsidRPr="006E61F6">
              <w:rPr>
                <w:rFonts w:cs="Arial"/>
                <w:b/>
                <w:bCs/>
                <w:color w:val="000000"/>
                <w:sz w:val="22"/>
                <w:szCs w:val="22"/>
              </w:rPr>
              <w:t>-131</w:t>
            </w:r>
          </w:p>
        </w:tc>
        <w:tc>
          <w:tcPr>
            <w:tcW w:w="1194" w:type="dxa"/>
            <w:shd w:val="clear" w:color="000000" w:fill="F2F2F2"/>
            <w:vAlign w:val="center"/>
          </w:tcPr>
          <w:p w14:paraId="667C37E7" w14:textId="04F0CD3C" w:rsidR="006E61F6" w:rsidRPr="006E61F6" w:rsidRDefault="006E61F6" w:rsidP="006E61F6">
            <w:pPr>
              <w:jc w:val="right"/>
              <w:rPr>
                <w:sz w:val="22"/>
                <w:szCs w:val="22"/>
              </w:rPr>
            </w:pPr>
            <w:r w:rsidRPr="006E61F6">
              <w:rPr>
                <w:rFonts w:cs="Arial"/>
                <w:b/>
                <w:bCs/>
                <w:sz w:val="22"/>
                <w:szCs w:val="22"/>
              </w:rPr>
              <w:t>0</w:t>
            </w:r>
          </w:p>
        </w:tc>
      </w:tr>
      <w:tr w:rsidR="006E61F6" w:rsidRPr="006E61F6" w14:paraId="1CD0AE2E" w14:textId="77777777" w:rsidTr="006E61F6">
        <w:trPr>
          <w:trHeight w:hRule="exact" w:val="301"/>
        </w:trPr>
        <w:tc>
          <w:tcPr>
            <w:tcW w:w="709" w:type="dxa"/>
            <w:vMerge w:val="restart"/>
            <w:shd w:val="clear" w:color="auto" w:fill="auto"/>
            <w:vAlign w:val="center"/>
          </w:tcPr>
          <w:p w14:paraId="77383BB5" w14:textId="77777777" w:rsidR="006E61F6" w:rsidRPr="006E61F6" w:rsidRDefault="006E61F6" w:rsidP="006E61F6">
            <w:pPr>
              <w:rPr>
                <w:sz w:val="22"/>
                <w:szCs w:val="22"/>
              </w:rPr>
            </w:pPr>
            <w:r w:rsidRPr="006E61F6">
              <w:rPr>
                <w:rFonts w:cs="Arial"/>
                <w:color w:val="000000"/>
                <w:sz w:val="22"/>
                <w:szCs w:val="22"/>
              </w:rPr>
              <w:t>Children’s Services</w:t>
            </w:r>
          </w:p>
          <w:p w14:paraId="43577CE6" w14:textId="77777777" w:rsidR="006E61F6" w:rsidRPr="006E61F6" w:rsidRDefault="006E61F6" w:rsidP="006E61F6">
            <w:pPr>
              <w:rPr>
                <w:sz w:val="22"/>
                <w:szCs w:val="22"/>
              </w:rPr>
            </w:pPr>
            <w:r w:rsidRPr="006E61F6">
              <w:rPr>
                <w:rFonts w:cs="Arial"/>
                <w:color w:val="000000"/>
                <w:sz w:val="22"/>
                <w:szCs w:val="22"/>
              </w:rPr>
              <w:t> </w:t>
            </w:r>
          </w:p>
          <w:p w14:paraId="6E681315" w14:textId="0E5F5DFF" w:rsidR="006E61F6" w:rsidRPr="006E61F6" w:rsidRDefault="006E61F6" w:rsidP="006E61F6">
            <w:pPr>
              <w:rPr>
                <w:sz w:val="22"/>
                <w:szCs w:val="22"/>
              </w:rPr>
            </w:pPr>
            <w:r w:rsidRPr="006E61F6">
              <w:rPr>
                <w:rFonts w:cs="Arial"/>
                <w:color w:val="000000"/>
                <w:sz w:val="22"/>
                <w:szCs w:val="22"/>
              </w:rPr>
              <w:t> </w:t>
            </w:r>
          </w:p>
        </w:tc>
        <w:tc>
          <w:tcPr>
            <w:tcW w:w="2796" w:type="dxa"/>
            <w:shd w:val="clear" w:color="auto" w:fill="auto"/>
            <w:noWrap/>
            <w:vAlign w:val="center"/>
          </w:tcPr>
          <w:p w14:paraId="29B0ECB0" w14:textId="274F5A7B" w:rsidR="006E61F6" w:rsidRPr="006E61F6" w:rsidRDefault="006E61F6" w:rsidP="006E61F6">
            <w:pPr>
              <w:rPr>
                <w:sz w:val="22"/>
                <w:szCs w:val="22"/>
              </w:rPr>
            </w:pPr>
            <w:r w:rsidRPr="006E61F6">
              <w:rPr>
                <w:rFonts w:cs="Arial"/>
                <w:color w:val="000000"/>
                <w:sz w:val="22"/>
                <w:szCs w:val="22"/>
              </w:rPr>
              <w:t>Children &amp; Young People Services</w:t>
            </w:r>
          </w:p>
        </w:tc>
        <w:tc>
          <w:tcPr>
            <w:tcW w:w="984" w:type="dxa"/>
            <w:shd w:val="clear" w:color="000000" w:fill="FFFFFF"/>
            <w:noWrap/>
            <w:vAlign w:val="center"/>
          </w:tcPr>
          <w:p w14:paraId="0374F0AF" w14:textId="2A4EDAE8" w:rsidR="006E61F6" w:rsidRPr="006E61F6" w:rsidRDefault="006E61F6" w:rsidP="006E61F6">
            <w:pPr>
              <w:jc w:val="right"/>
              <w:rPr>
                <w:sz w:val="22"/>
                <w:szCs w:val="22"/>
              </w:rPr>
            </w:pPr>
            <w:r w:rsidRPr="006E61F6">
              <w:rPr>
                <w:rFonts w:cs="Arial"/>
                <w:sz w:val="22"/>
                <w:szCs w:val="22"/>
              </w:rPr>
              <w:t>25,963</w:t>
            </w:r>
          </w:p>
        </w:tc>
        <w:tc>
          <w:tcPr>
            <w:tcW w:w="1267" w:type="dxa"/>
            <w:shd w:val="clear" w:color="000000" w:fill="FFFFFF"/>
            <w:noWrap/>
            <w:vAlign w:val="center"/>
          </w:tcPr>
          <w:p w14:paraId="38422DC2" w14:textId="2E30AEEE" w:rsidR="006E61F6" w:rsidRPr="006E61F6" w:rsidRDefault="006E61F6" w:rsidP="006E61F6">
            <w:pPr>
              <w:jc w:val="right"/>
              <w:rPr>
                <w:sz w:val="22"/>
                <w:szCs w:val="22"/>
              </w:rPr>
            </w:pPr>
            <w:r w:rsidRPr="006E61F6">
              <w:rPr>
                <w:rFonts w:cs="Arial"/>
                <w:sz w:val="22"/>
                <w:szCs w:val="22"/>
              </w:rPr>
              <w:t>30,176</w:t>
            </w:r>
          </w:p>
        </w:tc>
        <w:tc>
          <w:tcPr>
            <w:tcW w:w="1134" w:type="dxa"/>
            <w:shd w:val="clear" w:color="000000" w:fill="FFFFFF"/>
            <w:vAlign w:val="center"/>
          </w:tcPr>
          <w:p w14:paraId="5DE2508E" w14:textId="1CB3A03A" w:rsidR="006E61F6" w:rsidRPr="006E61F6" w:rsidRDefault="006E61F6" w:rsidP="006E61F6">
            <w:pPr>
              <w:jc w:val="right"/>
              <w:rPr>
                <w:sz w:val="22"/>
                <w:szCs w:val="22"/>
              </w:rPr>
            </w:pPr>
            <w:r w:rsidRPr="006E61F6">
              <w:rPr>
                <w:rFonts w:cs="Arial"/>
                <w:sz w:val="22"/>
                <w:szCs w:val="22"/>
              </w:rPr>
              <w:t>-1,588</w:t>
            </w:r>
          </w:p>
        </w:tc>
        <w:tc>
          <w:tcPr>
            <w:tcW w:w="1138" w:type="dxa"/>
            <w:shd w:val="clear" w:color="000000" w:fill="FFFFFF"/>
            <w:vAlign w:val="center"/>
          </w:tcPr>
          <w:p w14:paraId="4E3932B3" w14:textId="4463BFB7" w:rsidR="006E61F6" w:rsidRPr="006E61F6" w:rsidRDefault="006E61F6" w:rsidP="006E61F6">
            <w:pPr>
              <w:jc w:val="right"/>
              <w:rPr>
                <w:sz w:val="22"/>
                <w:szCs w:val="22"/>
              </w:rPr>
            </w:pPr>
            <w:r w:rsidRPr="006E61F6">
              <w:rPr>
                <w:rFonts w:cs="Arial"/>
                <w:sz w:val="22"/>
                <w:szCs w:val="22"/>
              </w:rPr>
              <w:t>-757</w:t>
            </w:r>
          </w:p>
        </w:tc>
        <w:tc>
          <w:tcPr>
            <w:tcW w:w="984" w:type="dxa"/>
            <w:shd w:val="clear" w:color="auto" w:fill="auto"/>
            <w:vAlign w:val="center"/>
          </w:tcPr>
          <w:p w14:paraId="035AD213" w14:textId="4B2D580E" w:rsidR="006E61F6" w:rsidRPr="006E61F6" w:rsidRDefault="006E61F6" w:rsidP="006E61F6">
            <w:pPr>
              <w:jc w:val="right"/>
              <w:rPr>
                <w:sz w:val="22"/>
                <w:szCs w:val="22"/>
              </w:rPr>
            </w:pPr>
            <w:r w:rsidRPr="006E61F6">
              <w:rPr>
                <w:rFonts w:cs="Arial"/>
                <w:color w:val="000000"/>
                <w:sz w:val="22"/>
                <w:szCs w:val="22"/>
              </w:rPr>
              <w:t>27,831</w:t>
            </w:r>
          </w:p>
        </w:tc>
        <w:tc>
          <w:tcPr>
            <w:tcW w:w="1194" w:type="dxa"/>
            <w:shd w:val="clear" w:color="000000" w:fill="F2F2F2"/>
            <w:vAlign w:val="center"/>
          </w:tcPr>
          <w:p w14:paraId="4E39DC99" w14:textId="5024F761" w:rsidR="006E61F6" w:rsidRPr="006E61F6" w:rsidRDefault="006E61F6" w:rsidP="006E61F6">
            <w:pPr>
              <w:jc w:val="right"/>
              <w:rPr>
                <w:sz w:val="22"/>
                <w:szCs w:val="22"/>
              </w:rPr>
            </w:pPr>
            <w:r w:rsidRPr="006E61F6">
              <w:rPr>
                <w:rFonts w:cs="Arial"/>
                <w:sz w:val="22"/>
                <w:szCs w:val="22"/>
              </w:rPr>
              <w:t>1,868</w:t>
            </w:r>
          </w:p>
        </w:tc>
      </w:tr>
      <w:tr w:rsidR="006E61F6" w:rsidRPr="006E61F6" w14:paraId="4A0AEE07" w14:textId="77777777" w:rsidTr="006E61F6">
        <w:trPr>
          <w:trHeight w:hRule="exact" w:val="301"/>
        </w:trPr>
        <w:tc>
          <w:tcPr>
            <w:tcW w:w="709" w:type="dxa"/>
            <w:vMerge/>
            <w:shd w:val="clear" w:color="auto" w:fill="auto"/>
            <w:vAlign w:val="center"/>
          </w:tcPr>
          <w:p w14:paraId="7C3DB9DD" w14:textId="5960F232" w:rsidR="006E61F6" w:rsidRPr="006E61F6" w:rsidRDefault="006E61F6" w:rsidP="006E61F6">
            <w:pPr>
              <w:rPr>
                <w:sz w:val="22"/>
                <w:szCs w:val="22"/>
              </w:rPr>
            </w:pPr>
          </w:p>
        </w:tc>
        <w:tc>
          <w:tcPr>
            <w:tcW w:w="2796" w:type="dxa"/>
            <w:shd w:val="clear" w:color="auto" w:fill="auto"/>
            <w:noWrap/>
            <w:vAlign w:val="center"/>
          </w:tcPr>
          <w:p w14:paraId="67105A74" w14:textId="2EE306ED" w:rsidR="006E61F6" w:rsidRPr="006E61F6" w:rsidRDefault="006E61F6" w:rsidP="006E61F6">
            <w:pPr>
              <w:rPr>
                <w:sz w:val="22"/>
                <w:szCs w:val="22"/>
              </w:rPr>
            </w:pPr>
            <w:r w:rsidRPr="006E61F6">
              <w:rPr>
                <w:rFonts w:cs="Arial"/>
                <w:color w:val="000000"/>
                <w:sz w:val="22"/>
                <w:szCs w:val="22"/>
              </w:rPr>
              <w:t>Education Services</w:t>
            </w:r>
          </w:p>
        </w:tc>
        <w:tc>
          <w:tcPr>
            <w:tcW w:w="984" w:type="dxa"/>
            <w:shd w:val="clear" w:color="000000" w:fill="FFFFFF"/>
            <w:noWrap/>
            <w:vAlign w:val="center"/>
          </w:tcPr>
          <w:p w14:paraId="796B080D" w14:textId="568D73E2" w:rsidR="006E61F6" w:rsidRPr="006E61F6" w:rsidRDefault="006E61F6" w:rsidP="006E61F6">
            <w:pPr>
              <w:jc w:val="right"/>
              <w:rPr>
                <w:sz w:val="22"/>
                <w:szCs w:val="22"/>
              </w:rPr>
            </w:pPr>
            <w:r w:rsidRPr="006E61F6">
              <w:rPr>
                <w:rFonts w:cs="Arial"/>
                <w:color w:val="000000"/>
                <w:sz w:val="22"/>
                <w:szCs w:val="22"/>
              </w:rPr>
              <w:t>8,427</w:t>
            </w:r>
          </w:p>
        </w:tc>
        <w:tc>
          <w:tcPr>
            <w:tcW w:w="1267" w:type="dxa"/>
            <w:shd w:val="clear" w:color="000000" w:fill="FFFFFF"/>
            <w:noWrap/>
            <w:vAlign w:val="center"/>
          </w:tcPr>
          <w:p w14:paraId="1A20DADA" w14:textId="0BA39160" w:rsidR="006E61F6" w:rsidRPr="006E61F6" w:rsidRDefault="006E61F6" w:rsidP="006E61F6">
            <w:pPr>
              <w:jc w:val="right"/>
              <w:rPr>
                <w:sz w:val="22"/>
                <w:szCs w:val="22"/>
              </w:rPr>
            </w:pPr>
            <w:r w:rsidRPr="006E61F6">
              <w:rPr>
                <w:rFonts w:cs="Arial"/>
                <w:color w:val="000000"/>
                <w:sz w:val="22"/>
                <w:szCs w:val="22"/>
              </w:rPr>
              <w:t>7,015</w:t>
            </w:r>
          </w:p>
        </w:tc>
        <w:tc>
          <w:tcPr>
            <w:tcW w:w="1134" w:type="dxa"/>
            <w:shd w:val="clear" w:color="000000" w:fill="FFFFFF"/>
            <w:vAlign w:val="center"/>
          </w:tcPr>
          <w:p w14:paraId="7978A80C" w14:textId="1D0CD569" w:rsidR="006E61F6" w:rsidRPr="006E61F6" w:rsidRDefault="006E61F6" w:rsidP="006E61F6">
            <w:pPr>
              <w:jc w:val="right"/>
              <w:rPr>
                <w:sz w:val="22"/>
                <w:szCs w:val="22"/>
              </w:rPr>
            </w:pPr>
            <w:r w:rsidRPr="006E61F6">
              <w:rPr>
                <w:rFonts w:cs="Arial"/>
                <w:color w:val="000000"/>
                <w:sz w:val="22"/>
                <w:szCs w:val="22"/>
              </w:rPr>
              <w:t>374</w:t>
            </w:r>
          </w:p>
        </w:tc>
        <w:tc>
          <w:tcPr>
            <w:tcW w:w="1138" w:type="dxa"/>
            <w:shd w:val="clear" w:color="000000" w:fill="FFFFFF"/>
            <w:vAlign w:val="center"/>
          </w:tcPr>
          <w:p w14:paraId="24D3BFCF" w14:textId="08E9EAD7" w:rsidR="006E61F6" w:rsidRPr="006E61F6" w:rsidRDefault="006E61F6" w:rsidP="006E61F6">
            <w:pPr>
              <w:jc w:val="right"/>
              <w:rPr>
                <w:sz w:val="22"/>
                <w:szCs w:val="22"/>
              </w:rPr>
            </w:pPr>
            <w:r w:rsidRPr="006E61F6">
              <w:rPr>
                <w:rFonts w:cs="Arial"/>
                <w:color w:val="000000"/>
                <w:sz w:val="22"/>
                <w:szCs w:val="22"/>
              </w:rPr>
              <w:t>0</w:t>
            </w:r>
          </w:p>
        </w:tc>
        <w:tc>
          <w:tcPr>
            <w:tcW w:w="984" w:type="dxa"/>
            <w:shd w:val="clear" w:color="auto" w:fill="auto"/>
            <w:vAlign w:val="center"/>
          </w:tcPr>
          <w:p w14:paraId="6A722DF5" w14:textId="6ECF4722" w:rsidR="006E61F6" w:rsidRPr="006E61F6" w:rsidRDefault="006E61F6" w:rsidP="006E61F6">
            <w:pPr>
              <w:jc w:val="right"/>
              <w:rPr>
                <w:sz w:val="22"/>
                <w:szCs w:val="22"/>
              </w:rPr>
            </w:pPr>
            <w:r w:rsidRPr="006E61F6">
              <w:rPr>
                <w:rFonts w:cs="Arial"/>
                <w:color w:val="000000"/>
                <w:sz w:val="22"/>
                <w:szCs w:val="22"/>
              </w:rPr>
              <w:t>7,389</w:t>
            </w:r>
          </w:p>
        </w:tc>
        <w:tc>
          <w:tcPr>
            <w:tcW w:w="1194" w:type="dxa"/>
            <w:shd w:val="clear" w:color="000000" w:fill="F2F2F2"/>
            <w:vAlign w:val="center"/>
          </w:tcPr>
          <w:p w14:paraId="3959EDF7" w14:textId="1D949C9E" w:rsidR="006E61F6" w:rsidRPr="006E61F6" w:rsidRDefault="006E61F6" w:rsidP="006E61F6">
            <w:pPr>
              <w:jc w:val="right"/>
              <w:rPr>
                <w:sz w:val="22"/>
                <w:szCs w:val="22"/>
              </w:rPr>
            </w:pPr>
            <w:r w:rsidRPr="006E61F6">
              <w:rPr>
                <w:rFonts w:cs="Arial"/>
                <w:color w:val="000000"/>
                <w:sz w:val="22"/>
                <w:szCs w:val="22"/>
              </w:rPr>
              <w:t>-1,038</w:t>
            </w:r>
          </w:p>
        </w:tc>
      </w:tr>
      <w:tr w:rsidR="006E61F6" w:rsidRPr="006E61F6" w14:paraId="6FAFA5C2" w14:textId="77777777" w:rsidTr="006E61F6">
        <w:trPr>
          <w:trHeight w:hRule="exact" w:val="301"/>
        </w:trPr>
        <w:tc>
          <w:tcPr>
            <w:tcW w:w="709" w:type="dxa"/>
            <w:vMerge/>
            <w:shd w:val="clear" w:color="auto" w:fill="auto"/>
            <w:vAlign w:val="center"/>
          </w:tcPr>
          <w:p w14:paraId="2CEDC3C4" w14:textId="5DA4336F" w:rsidR="006E61F6" w:rsidRPr="006E61F6" w:rsidRDefault="006E61F6" w:rsidP="006E61F6">
            <w:pPr>
              <w:rPr>
                <w:sz w:val="22"/>
                <w:szCs w:val="22"/>
              </w:rPr>
            </w:pPr>
          </w:p>
        </w:tc>
        <w:tc>
          <w:tcPr>
            <w:tcW w:w="2796" w:type="dxa"/>
            <w:shd w:val="clear" w:color="auto" w:fill="auto"/>
            <w:noWrap/>
            <w:vAlign w:val="center"/>
          </w:tcPr>
          <w:p w14:paraId="387BFA2A" w14:textId="6B13E3C6" w:rsidR="006E61F6" w:rsidRPr="006E61F6" w:rsidRDefault="006E61F6" w:rsidP="006E61F6">
            <w:pPr>
              <w:rPr>
                <w:sz w:val="22"/>
                <w:szCs w:val="22"/>
              </w:rPr>
            </w:pPr>
            <w:r w:rsidRPr="006E61F6">
              <w:rPr>
                <w:rFonts w:cs="Arial"/>
                <w:color w:val="000000"/>
                <w:sz w:val="22"/>
                <w:szCs w:val="22"/>
              </w:rPr>
              <w:t xml:space="preserve">People Services </w:t>
            </w:r>
            <w:proofErr w:type="spellStart"/>
            <w:r w:rsidRPr="006E61F6">
              <w:rPr>
                <w:rFonts w:cs="Arial"/>
                <w:color w:val="000000"/>
                <w:sz w:val="22"/>
                <w:szCs w:val="22"/>
              </w:rPr>
              <w:t>Mgt</w:t>
            </w:r>
            <w:proofErr w:type="spellEnd"/>
          </w:p>
        </w:tc>
        <w:tc>
          <w:tcPr>
            <w:tcW w:w="984" w:type="dxa"/>
            <w:shd w:val="clear" w:color="000000" w:fill="FFFFFF"/>
            <w:noWrap/>
            <w:vAlign w:val="center"/>
          </w:tcPr>
          <w:p w14:paraId="0738ED6F" w14:textId="75162142" w:rsidR="006E61F6" w:rsidRPr="006E61F6" w:rsidRDefault="006E61F6" w:rsidP="006E61F6">
            <w:pPr>
              <w:jc w:val="right"/>
              <w:rPr>
                <w:sz w:val="22"/>
                <w:szCs w:val="22"/>
              </w:rPr>
            </w:pPr>
            <w:r w:rsidRPr="006E61F6">
              <w:rPr>
                <w:rFonts w:cs="Arial"/>
                <w:color w:val="000000"/>
                <w:sz w:val="22"/>
                <w:szCs w:val="22"/>
              </w:rPr>
              <w:t>685</w:t>
            </w:r>
          </w:p>
        </w:tc>
        <w:tc>
          <w:tcPr>
            <w:tcW w:w="1267" w:type="dxa"/>
            <w:shd w:val="clear" w:color="000000" w:fill="FFFFFF"/>
            <w:noWrap/>
            <w:vAlign w:val="center"/>
          </w:tcPr>
          <w:p w14:paraId="2DF97C70" w14:textId="6D06C467" w:rsidR="006E61F6" w:rsidRPr="006E61F6" w:rsidRDefault="006E61F6" w:rsidP="006E61F6">
            <w:pPr>
              <w:jc w:val="right"/>
              <w:rPr>
                <w:sz w:val="22"/>
                <w:szCs w:val="22"/>
              </w:rPr>
            </w:pPr>
            <w:r w:rsidRPr="006E61F6">
              <w:rPr>
                <w:rFonts w:cs="Arial"/>
                <w:color w:val="000000"/>
                <w:sz w:val="22"/>
                <w:szCs w:val="22"/>
              </w:rPr>
              <w:t>663</w:t>
            </w:r>
          </w:p>
        </w:tc>
        <w:tc>
          <w:tcPr>
            <w:tcW w:w="1134" w:type="dxa"/>
            <w:shd w:val="clear" w:color="000000" w:fill="FFFFFF"/>
            <w:vAlign w:val="center"/>
          </w:tcPr>
          <w:p w14:paraId="5727A89B" w14:textId="37A9A51F" w:rsidR="006E61F6" w:rsidRPr="006E61F6" w:rsidRDefault="006E61F6" w:rsidP="006E61F6">
            <w:pPr>
              <w:jc w:val="right"/>
              <w:rPr>
                <w:sz w:val="22"/>
                <w:szCs w:val="22"/>
              </w:rPr>
            </w:pPr>
            <w:r w:rsidRPr="006E61F6">
              <w:rPr>
                <w:rFonts w:cs="Arial"/>
                <w:color w:val="000000"/>
                <w:sz w:val="22"/>
                <w:szCs w:val="22"/>
              </w:rPr>
              <w:t>-50</w:t>
            </w:r>
          </w:p>
        </w:tc>
        <w:tc>
          <w:tcPr>
            <w:tcW w:w="1138" w:type="dxa"/>
            <w:shd w:val="clear" w:color="000000" w:fill="FFFFFF"/>
            <w:vAlign w:val="center"/>
          </w:tcPr>
          <w:p w14:paraId="277C2CEF" w14:textId="374B27D3" w:rsidR="006E61F6" w:rsidRPr="006E61F6" w:rsidRDefault="006E61F6" w:rsidP="006E61F6">
            <w:pPr>
              <w:jc w:val="right"/>
              <w:rPr>
                <w:sz w:val="22"/>
                <w:szCs w:val="22"/>
              </w:rPr>
            </w:pPr>
            <w:r w:rsidRPr="006E61F6">
              <w:rPr>
                <w:rFonts w:cs="Arial"/>
                <w:color w:val="000000"/>
                <w:sz w:val="22"/>
                <w:szCs w:val="22"/>
              </w:rPr>
              <w:t>0</w:t>
            </w:r>
          </w:p>
        </w:tc>
        <w:tc>
          <w:tcPr>
            <w:tcW w:w="984" w:type="dxa"/>
            <w:shd w:val="clear" w:color="auto" w:fill="auto"/>
            <w:vAlign w:val="center"/>
          </w:tcPr>
          <w:p w14:paraId="61D49281" w14:textId="1393428F" w:rsidR="006E61F6" w:rsidRPr="006E61F6" w:rsidRDefault="006E61F6" w:rsidP="006E61F6">
            <w:pPr>
              <w:jc w:val="right"/>
              <w:rPr>
                <w:sz w:val="22"/>
                <w:szCs w:val="22"/>
              </w:rPr>
            </w:pPr>
            <w:r w:rsidRPr="006E61F6">
              <w:rPr>
                <w:rFonts w:cs="Arial"/>
                <w:color w:val="000000"/>
                <w:sz w:val="22"/>
                <w:szCs w:val="22"/>
              </w:rPr>
              <w:t>613</w:t>
            </w:r>
          </w:p>
        </w:tc>
        <w:tc>
          <w:tcPr>
            <w:tcW w:w="1194" w:type="dxa"/>
            <w:shd w:val="clear" w:color="000000" w:fill="F2F2F2"/>
            <w:vAlign w:val="center"/>
          </w:tcPr>
          <w:p w14:paraId="33055C38" w14:textId="5E42F96E" w:rsidR="006E61F6" w:rsidRPr="006E61F6" w:rsidRDefault="006E61F6" w:rsidP="006E61F6">
            <w:pPr>
              <w:jc w:val="right"/>
              <w:rPr>
                <w:sz w:val="22"/>
                <w:szCs w:val="22"/>
              </w:rPr>
            </w:pPr>
            <w:r w:rsidRPr="006E61F6">
              <w:rPr>
                <w:rFonts w:cs="Arial"/>
                <w:color w:val="000000"/>
                <w:sz w:val="22"/>
                <w:szCs w:val="22"/>
              </w:rPr>
              <w:t>-72</w:t>
            </w:r>
          </w:p>
        </w:tc>
      </w:tr>
      <w:tr w:rsidR="006E61F6" w:rsidRPr="006E61F6" w14:paraId="585BAD32" w14:textId="77777777" w:rsidTr="006E61F6">
        <w:trPr>
          <w:trHeight w:hRule="exact" w:val="301"/>
        </w:trPr>
        <w:tc>
          <w:tcPr>
            <w:tcW w:w="3505" w:type="dxa"/>
            <w:gridSpan w:val="2"/>
            <w:shd w:val="clear" w:color="auto" w:fill="auto"/>
            <w:vAlign w:val="center"/>
          </w:tcPr>
          <w:p w14:paraId="7595694F" w14:textId="43313DFC" w:rsidR="006E61F6" w:rsidRPr="006E61F6" w:rsidRDefault="006E61F6" w:rsidP="006E61F6">
            <w:pPr>
              <w:rPr>
                <w:b/>
                <w:bCs/>
                <w:sz w:val="22"/>
                <w:szCs w:val="22"/>
              </w:rPr>
            </w:pPr>
            <w:r w:rsidRPr="006E61F6">
              <w:rPr>
                <w:rFonts w:cs="Arial"/>
                <w:b/>
                <w:bCs/>
                <w:color w:val="000000"/>
                <w:sz w:val="22"/>
                <w:szCs w:val="22"/>
              </w:rPr>
              <w:t>Children's Services Total</w:t>
            </w:r>
          </w:p>
        </w:tc>
        <w:tc>
          <w:tcPr>
            <w:tcW w:w="984" w:type="dxa"/>
            <w:shd w:val="clear" w:color="000000" w:fill="FFFFFF"/>
            <w:noWrap/>
            <w:vAlign w:val="center"/>
          </w:tcPr>
          <w:p w14:paraId="7FF5F42E" w14:textId="4A695513" w:rsidR="006E61F6" w:rsidRPr="006E61F6" w:rsidRDefault="006E61F6" w:rsidP="006E61F6">
            <w:pPr>
              <w:jc w:val="right"/>
              <w:rPr>
                <w:sz w:val="22"/>
                <w:szCs w:val="22"/>
              </w:rPr>
            </w:pPr>
            <w:r w:rsidRPr="006E61F6">
              <w:rPr>
                <w:rFonts w:cs="Arial"/>
                <w:b/>
                <w:bCs/>
                <w:color w:val="000000"/>
                <w:sz w:val="22"/>
                <w:szCs w:val="22"/>
              </w:rPr>
              <w:t>35,075</w:t>
            </w:r>
          </w:p>
        </w:tc>
        <w:tc>
          <w:tcPr>
            <w:tcW w:w="1267" w:type="dxa"/>
            <w:shd w:val="clear" w:color="000000" w:fill="FFFFFF"/>
            <w:noWrap/>
            <w:vAlign w:val="center"/>
          </w:tcPr>
          <w:p w14:paraId="19A58BEA" w14:textId="45F18535" w:rsidR="006E61F6" w:rsidRPr="006E61F6" w:rsidRDefault="006E61F6" w:rsidP="006E61F6">
            <w:pPr>
              <w:jc w:val="right"/>
              <w:rPr>
                <w:sz w:val="22"/>
                <w:szCs w:val="22"/>
              </w:rPr>
            </w:pPr>
            <w:r w:rsidRPr="006E61F6">
              <w:rPr>
                <w:rFonts w:cs="Arial"/>
                <w:b/>
                <w:bCs/>
                <w:color w:val="000000"/>
                <w:sz w:val="22"/>
                <w:szCs w:val="22"/>
              </w:rPr>
              <w:t>37,854</w:t>
            </w:r>
          </w:p>
        </w:tc>
        <w:tc>
          <w:tcPr>
            <w:tcW w:w="1134" w:type="dxa"/>
            <w:shd w:val="clear" w:color="000000" w:fill="FFFFFF"/>
            <w:vAlign w:val="center"/>
          </w:tcPr>
          <w:p w14:paraId="7EF54594" w14:textId="5D900AC8" w:rsidR="006E61F6" w:rsidRPr="006E61F6" w:rsidRDefault="006E61F6" w:rsidP="006E61F6">
            <w:pPr>
              <w:jc w:val="right"/>
              <w:rPr>
                <w:sz w:val="22"/>
                <w:szCs w:val="22"/>
              </w:rPr>
            </w:pPr>
            <w:r w:rsidRPr="006E61F6">
              <w:rPr>
                <w:rFonts w:cs="Arial"/>
                <w:b/>
                <w:bCs/>
                <w:color w:val="000000"/>
                <w:sz w:val="22"/>
                <w:szCs w:val="22"/>
              </w:rPr>
              <w:t>-1,264</w:t>
            </w:r>
          </w:p>
        </w:tc>
        <w:tc>
          <w:tcPr>
            <w:tcW w:w="1138" w:type="dxa"/>
            <w:shd w:val="clear" w:color="000000" w:fill="FFFFFF"/>
            <w:vAlign w:val="center"/>
          </w:tcPr>
          <w:p w14:paraId="227B3A1A" w14:textId="0B0CC9F3" w:rsidR="006E61F6" w:rsidRPr="006E61F6" w:rsidRDefault="006E61F6" w:rsidP="006E61F6">
            <w:pPr>
              <w:jc w:val="right"/>
              <w:rPr>
                <w:sz w:val="22"/>
                <w:szCs w:val="22"/>
              </w:rPr>
            </w:pPr>
            <w:r w:rsidRPr="006E61F6">
              <w:rPr>
                <w:rFonts w:cs="Arial"/>
                <w:b/>
                <w:bCs/>
                <w:color w:val="000000"/>
                <w:sz w:val="22"/>
                <w:szCs w:val="22"/>
              </w:rPr>
              <w:t>-757</w:t>
            </w:r>
          </w:p>
        </w:tc>
        <w:tc>
          <w:tcPr>
            <w:tcW w:w="984" w:type="dxa"/>
            <w:shd w:val="clear" w:color="000000" w:fill="FFFFFF"/>
            <w:vAlign w:val="center"/>
          </w:tcPr>
          <w:p w14:paraId="6C70AA52" w14:textId="5BACAD0D" w:rsidR="006E61F6" w:rsidRPr="006E61F6" w:rsidRDefault="006E61F6" w:rsidP="006E61F6">
            <w:pPr>
              <w:jc w:val="right"/>
              <w:rPr>
                <w:sz w:val="22"/>
                <w:szCs w:val="22"/>
              </w:rPr>
            </w:pPr>
            <w:r w:rsidRPr="006E61F6">
              <w:rPr>
                <w:rFonts w:cs="Arial"/>
                <w:b/>
                <w:bCs/>
                <w:color w:val="000000"/>
                <w:sz w:val="22"/>
                <w:szCs w:val="22"/>
              </w:rPr>
              <w:t>35,833</w:t>
            </w:r>
          </w:p>
        </w:tc>
        <w:tc>
          <w:tcPr>
            <w:tcW w:w="1194" w:type="dxa"/>
            <w:shd w:val="clear" w:color="000000" w:fill="FFFFFF"/>
            <w:vAlign w:val="center"/>
          </w:tcPr>
          <w:p w14:paraId="3942F271" w14:textId="2B81B233" w:rsidR="006E61F6" w:rsidRPr="006E61F6" w:rsidRDefault="006E61F6" w:rsidP="006E61F6">
            <w:pPr>
              <w:jc w:val="right"/>
              <w:rPr>
                <w:sz w:val="22"/>
                <w:szCs w:val="22"/>
              </w:rPr>
            </w:pPr>
            <w:r w:rsidRPr="006E61F6">
              <w:rPr>
                <w:rFonts w:cs="Arial"/>
                <w:b/>
                <w:bCs/>
                <w:color w:val="000000"/>
                <w:sz w:val="22"/>
                <w:szCs w:val="22"/>
              </w:rPr>
              <w:t>758</w:t>
            </w:r>
          </w:p>
        </w:tc>
      </w:tr>
      <w:tr w:rsidR="006E61F6" w:rsidRPr="006E61F6" w14:paraId="0D0BAEA1" w14:textId="79D66182" w:rsidTr="006E61F6">
        <w:trPr>
          <w:trHeight w:hRule="exact" w:val="301"/>
        </w:trPr>
        <w:tc>
          <w:tcPr>
            <w:tcW w:w="3505" w:type="dxa"/>
            <w:gridSpan w:val="2"/>
            <w:shd w:val="clear" w:color="auto" w:fill="auto"/>
            <w:vAlign w:val="center"/>
          </w:tcPr>
          <w:p w14:paraId="1DD03B9B" w14:textId="77777777" w:rsidR="006E61F6" w:rsidRPr="006E61F6" w:rsidRDefault="006E61F6" w:rsidP="006E61F6">
            <w:pPr>
              <w:rPr>
                <w:rFonts w:cs="Arial"/>
                <w:b/>
                <w:bCs/>
                <w:sz w:val="22"/>
                <w:szCs w:val="22"/>
                <w:lang w:eastAsia="en-GB"/>
              </w:rPr>
            </w:pPr>
            <w:r w:rsidRPr="006E61F6">
              <w:rPr>
                <w:rFonts w:cs="Arial"/>
                <w:b/>
                <w:bCs/>
                <w:color w:val="000000"/>
                <w:sz w:val="22"/>
                <w:szCs w:val="22"/>
              </w:rPr>
              <w:t>People Services Total</w:t>
            </w:r>
          </w:p>
          <w:p w14:paraId="75E54D8D" w14:textId="53DE9A3F" w:rsidR="006E61F6" w:rsidRPr="006E61F6" w:rsidRDefault="006E61F6" w:rsidP="006E61F6">
            <w:pPr>
              <w:rPr>
                <w:rFonts w:cs="Arial"/>
                <w:b/>
                <w:bCs/>
                <w:sz w:val="22"/>
                <w:szCs w:val="22"/>
                <w:lang w:eastAsia="en-GB"/>
              </w:rPr>
            </w:pPr>
            <w:r w:rsidRPr="006E61F6">
              <w:rPr>
                <w:rFonts w:cs="Arial"/>
                <w:b/>
                <w:bCs/>
                <w:color w:val="000000"/>
                <w:sz w:val="22"/>
                <w:szCs w:val="22"/>
              </w:rPr>
              <w:t> </w:t>
            </w:r>
          </w:p>
        </w:tc>
        <w:tc>
          <w:tcPr>
            <w:tcW w:w="984" w:type="dxa"/>
            <w:shd w:val="clear" w:color="auto" w:fill="auto"/>
            <w:noWrap/>
            <w:vAlign w:val="center"/>
          </w:tcPr>
          <w:p w14:paraId="78DD067E" w14:textId="28064AE3" w:rsidR="006E61F6" w:rsidRPr="006E61F6" w:rsidRDefault="006E61F6" w:rsidP="006E61F6">
            <w:pPr>
              <w:jc w:val="right"/>
              <w:rPr>
                <w:rFonts w:cs="Arial"/>
                <w:b/>
                <w:bCs/>
                <w:sz w:val="22"/>
                <w:szCs w:val="22"/>
                <w:lang w:eastAsia="en-GB"/>
              </w:rPr>
            </w:pPr>
            <w:r w:rsidRPr="006E61F6">
              <w:rPr>
                <w:rFonts w:cs="Arial"/>
                <w:b/>
                <w:bCs/>
                <w:color w:val="000000"/>
                <w:sz w:val="22"/>
                <w:szCs w:val="22"/>
              </w:rPr>
              <w:t>106,368</w:t>
            </w:r>
          </w:p>
        </w:tc>
        <w:tc>
          <w:tcPr>
            <w:tcW w:w="1267" w:type="dxa"/>
            <w:shd w:val="clear" w:color="auto" w:fill="auto"/>
            <w:noWrap/>
            <w:vAlign w:val="center"/>
          </w:tcPr>
          <w:p w14:paraId="524EFBBF" w14:textId="331ED621" w:rsidR="006E61F6" w:rsidRPr="006E61F6" w:rsidRDefault="006E61F6" w:rsidP="006E61F6">
            <w:pPr>
              <w:jc w:val="right"/>
              <w:rPr>
                <w:rFonts w:cs="Arial"/>
                <w:b/>
                <w:bCs/>
                <w:sz w:val="22"/>
                <w:szCs w:val="22"/>
                <w:lang w:eastAsia="en-GB"/>
              </w:rPr>
            </w:pPr>
            <w:r w:rsidRPr="006E61F6">
              <w:rPr>
                <w:rFonts w:cs="Arial"/>
                <w:b/>
                <w:bCs/>
                <w:color w:val="000000"/>
                <w:sz w:val="22"/>
                <w:szCs w:val="22"/>
              </w:rPr>
              <w:t>106,421</w:t>
            </w:r>
          </w:p>
        </w:tc>
        <w:tc>
          <w:tcPr>
            <w:tcW w:w="1134" w:type="dxa"/>
            <w:shd w:val="clear" w:color="auto" w:fill="auto"/>
            <w:vAlign w:val="center"/>
          </w:tcPr>
          <w:p w14:paraId="3B1C9E7C" w14:textId="21D4AB69" w:rsidR="006E61F6" w:rsidRPr="006E61F6" w:rsidRDefault="006E61F6" w:rsidP="006E61F6">
            <w:pPr>
              <w:jc w:val="right"/>
              <w:rPr>
                <w:rFonts w:cs="Arial"/>
                <w:b/>
                <w:bCs/>
                <w:sz w:val="22"/>
                <w:szCs w:val="22"/>
                <w:lang w:eastAsia="en-GB"/>
              </w:rPr>
            </w:pPr>
            <w:r w:rsidRPr="006E61F6">
              <w:rPr>
                <w:rFonts w:cs="Arial"/>
                <w:b/>
                <w:bCs/>
                <w:color w:val="000000"/>
                <w:sz w:val="22"/>
                <w:szCs w:val="22"/>
              </w:rPr>
              <w:t>338</w:t>
            </w:r>
          </w:p>
        </w:tc>
        <w:tc>
          <w:tcPr>
            <w:tcW w:w="1138" w:type="dxa"/>
            <w:shd w:val="clear" w:color="auto" w:fill="auto"/>
            <w:vAlign w:val="center"/>
          </w:tcPr>
          <w:p w14:paraId="53F8DB8E" w14:textId="33938EEB" w:rsidR="006E61F6" w:rsidRPr="006E61F6" w:rsidRDefault="006E61F6" w:rsidP="006E61F6">
            <w:pPr>
              <w:jc w:val="right"/>
              <w:rPr>
                <w:rFonts w:cs="Arial"/>
                <w:b/>
                <w:bCs/>
                <w:sz w:val="22"/>
                <w:szCs w:val="22"/>
                <w:lang w:eastAsia="en-GB"/>
              </w:rPr>
            </w:pPr>
            <w:r w:rsidRPr="006E61F6">
              <w:rPr>
                <w:rFonts w:cs="Arial"/>
                <w:b/>
                <w:bCs/>
                <w:color w:val="000000"/>
                <w:sz w:val="22"/>
                <w:szCs w:val="22"/>
              </w:rPr>
              <w:t>-685</w:t>
            </w:r>
          </w:p>
        </w:tc>
        <w:tc>
          <w:tcPr>
            <w:tcW w:w="984" w:type="dxa"/>
            <w:shd w:val="clear" w:color="auto" w:fill="auto"/>
            <w:vAlign w:val="center"/>
          </w:tcPr>
          <w:p w14:paraId="29D03243" w14:textId="7A5DA6DA" w:rsidR="006E61F6" w:rsidRPr="006E61F6" w:rsidRDefault="006E61F6" w:rsidP="006E61F6">
            <w:pPr>
              <w:jc w:val="right"/>
              <w:rPr>
                <w:rFonts w:cs="Arial"/>
                <w:b/>
                <w:bCs/>
                <w:sz w:val="22"/>
                <w:szCs w:val="22"/>
              </w:rPr>
            </w:pPr>
            <w:r w:rsidRPr="006E61F6">
              <w:rPr>
                <w:rFonts w:cs="Arial"/>
                <w:b/>
                <w:bCs/>
                <w:color w:val="000000"/>
                <w:sz w:val="22"/>
                <w:szCs w:val="22"/>
              </w:rPr>
              <w:t>106,074</w:t>
            </w:r>
          </w:p>
        </w:tc>
        <w:tc>
          <w:tcPr>
            <w:tcW w:w="1194" w:type="dxa"/>
            <w:shd w:val="clear" w:color="auto" w:fill="auto"/>
            <w:vAlign w:val="center"/>
          </w:tcPr>
          <w:p w14:paraId="3067A7CC" w14:textId="531C3086" w:rsidR="006E61F6" w:rsidRPr="006E61F6" w:rsidRDefault="006E61F6" w:rsidP="006E61F6">
            <w:pPr>
              <w:jc w:val="right"/>
              <w:rPr>
                <w:rFonts w:cs="Arial"/>
                <w:b/>
                <w:bCs/>
                <w:sz w:val="22"/>
                <w:szCs w:val="22"/>
              </w:rPr>
            </w:pPr>
            <w:r w:rsidRPr="006E61F6">
              <w:rPr>
                <w:rFonts w:cs="Arial"/>
                <w:b/>
                <w:bCs/>
                <w:sz w:val="22"/>
                <w:szCs w:val="22"/>
              </w:rPr>
              <w:t>-294</w:t>
            </w:r>
          </w:p>
        </w:tc>
      </w:tr>
    </w:tbl>
    <w:p w14:paraId="77C9411A" w14:textId="32EFBBC8" w:rsidR="00F6344A" w:rsidRPr="00C761D4" w:rsidRDefault="00F6344A" w:rsidP="00487CDB">
      <w:pPr>
        <w:pStyle w:val="ListParagraph"/>
        <w:ind w:left="460"/>
        <w:rPr>
          <w:rFonts w:cs="Arial"/>
          <w:bCs/>
        </w:rPr>
      </w:pPr>
    </w:p>
    <w:p w14:paraId="45D98BC4" w14:textId="0D75A7F2" w:rsidR="00157B60" w:rsidRPr="00C761D4" w:rsidRDefault="00F678AF" w:rsidP="007A4D31">
      <w:pPr>
        <w:pStyle w:val="ListParagraph"/>
        <w:numPr>
          <w:ilvl w:val="0"/>
          <w:numId w:val="5"/>
        </w:numPr>
        <w:ind w:left="460" w:hanging="567"/>
        <w:jc w:val="both"/>
        <w:rPr>
          <w:rFonts w:cs="Arial"/>
          <w:bCs/>
        </w:rPr>
      </w:pPr>
      <w:r w:rsidRPr="00C761D4">
        <w:rPr>
          <w:szCs w:val="24"/>
        </w:rPr>
        <w:t xml:space="preserve">The </w:t>
      </w:r>
      <w:r w:rsidR="00817D33" w:rsidRPr="00C761D4">
        <w:rPr>
          <w:rFonts w:cs="Arial"/>
          <w:bCs/>
        </w:rPr>
        <w:t xml:space="preserve">variations are </w:t>
      </w:r>
      <w:r w:rsidR="00161FB7" w:rsidRPr="00C761D4">
        <w:rPr>
          <w:rFonts w:cs="Arial"/>
          <w:bCs/>
        </w:rPr>
        <w:t xml:space="preserve">explained in more detail </w:t>
      </w:r>
      <w:r w:rsidR="006E61F6">
        <w:rPr>
          <w:rFonts w:cs="Arial"/>
          <w:bCs/>
        </w:rPr>
        <w:t>at the following paragraphs.</w:t>
      </w:r>
    </w:p>
    <w:p w14:paraId="6808BB7E" w14:textId="24ECB3AD" w:rsidR="00157B60" w:rsidRPr="00440868" w:rsidRDefault="00157B60" w:rsidP="00157B60">
      <w:pPr>
        <w:jc w:val="both"/>
        <w:rPr>
          <w:rFonts w:cs="Arial"/>
          <w:bCs/>
        </w:rPr>
      </w:pPr>
    </w:p>
    <w:p w14:paraId="27B5BE1A" w14:textId="5C127EBF" w:rsidR="00157B60" w:rsidRPr="00440868" w:rsidRDefault="00157B60" w:rsidP="00157B60">
      <w:pPr>
        <w:jc w:val="both"/>
        <w:rPr>
          <w:rFonts w:cs="Arial"/>
          <w:b/>
        </w:rPr>
      </w:pPr>
      <w:r w:rsidRPr="00440868">
        <w:rPr>
          <w:rFonts w:cs="Arial"/>
          <w:b/>
        </w:rPr>
        <w:t>Adult Services</w:t>
      </w:r>
    </w:p>
    <w:p w14:paraId="0987F2CF" w14:textId="77777777" w:rsidR="00157B60" w:rsidRPr="00440868" w:rsidRDefault="00157B60" w:rsidP="00157B60">
      <w:pPr>
        <w:jc w:val="both"/>
        <w:rPr>
          <w:rFonts w:cs="Arial"/>
          <w:bCs/>
        </w:rPr>
      </w:pPr>
    </w:p>
    <w:p w14:paraId="58BDCC04" w14:textId="3CC9730F" w:rsidR="00157B60" w:rsidRPr="00440868" w:rsidRDefault="008E20FC" w:rsidP="007A4D31">
      <w:pPr>
        <w:pStyle w:val="ListParagraph"/>
        <w:numPr>
          <w:ilvl w:val="0"/>
          <w:numId w:val="5"/>
        </w:numPr>
        <w:ind w:left="460" w:hanging="567"/>
        <w:jc w:val="both"/>
        <w:rPr>
          <w:rFonts w:cs="Arial"/>
          <w:bCs/>
        </w:rPr>
      </w:pPr>
      <w:r w:rsidRPr="00440868">
        <w:rPr>
          <w:rFonts w:cs="Arial"/>
        </w:rPr>
        <w:t xml:space="preserve">The final outturn for Adult Services is an underspend of </w:t>
      </w:r>
      <w:r w:rsidR="00440868" w:rsidRPr="00440868">
        <w:rPr>
          <w:rFonts w:cs="Arial"/>
        </w:rPr>
        <w:t>£1.052m</w:t>
      </w:r>
      <w:r w:rsidRPr="00440868">
        <w:rPr>
          <w:rFonts w:cs="Arial"/>
        </w:rPr>
        <w:t xml:space="preserve"> against the </w:t>
      </w:r>
      <w:r w:rsidR="00440868" w:rsidRPr="00440868">
        <w:rPr>
          <w:rFonts w:cs="Arial"/>
        </w:rPr>
        <w:t>2021-22</w:t>
      </w:r>
      <w:r w:rsidRPr="00440868">
        <w:rPr>
          <w:rFonts w:cs="Arial"/>
        </w:rPr>
        <w:t xml:space="preserve"> budget. The cause of the underspend is highlighted as below</w:t>
      </w:r>
      <w:bookmarkStart w:id="6" w:name="_Hlk48752687"/>
    </w:p>
    <w:p w14:paraId="71D2DDB4" w14:textId="77777777" w:rsidR="00157B60" w:rsidRPr="00440868" w:rsidRDefault="00157B60" w:rsidP="00157B60">
      <w:pPr>
        <w:pStyle w:val="ListParagraph"/>
        <w:ind w:left="460"/>
        <w:jc w:val="both"/>
        <w:rPr>
          <w:rFonts w:cs="Arial"/>
          <w:bCs/>
        </w:rPr>
      </w:pPr>
    </w:p>
    <w:p w14:paraId="1770249C" w14:textId="77777777" w:rsidR="00EA30B3" w:rsidRPr="00440868" w:rsidRDefault="008E20FC" w:rsidP="007A4D31">
      <w:pPr>
        <w:pStyle w:val="ListParagraph"/>
        <w:numPr>
          <w:ilvl w:val="0"/>
          <w:numId w:val="5"/>
        </w:numPr>
        <w:ind w:left="460" w:hanging="567"/>
        <w:jc w:val="both"/>
        <w:rPr>
          <w:rFonts w:cs="Arial"/>
          <w:bCs/>
        </w:rPr>
      </w:pPr>
      <w:r w:rsidRPr="00440868">
        <w:rPr>
          <w:rFonts w:cs="Arial"/>
          <w:b/>
          <w:bCs/>
        </w:rPr>
        <w:t>Strategic Management</w:t>
      </w:r>
    </w:p>
    <w:p w14:paraId="44392FA4" w14:textId="77777777" w:rsidR="00EA30B3" w:rsidRPr="00440868" w:rsidRDefault="00EA30B3" w:rsidP="00EA30B3">
      <w:pPr>
        <w:pStyle w:val="ListParagraph"/>
        <w:rPr>
          <w:rFonts w:cs="Arial"/>
        </w:rPr>
      </w:pPr>
    </w:p>
    <w:p w14:paraId="6DACBE2D" w14:textId="1D047767" w:rsidR="00EA30B3" w:rsidRPr="00440868" w:rsidRDefault="008E20FC" w:rsidP="007A4D31">
      <w:pPr>
        <w:pStyle w:val="ListParagraph"/>
        <w:numPr>
          <w:ilvl w:val="0"/>
          <w:numId w:val="5"/>
        </w:numPr>
        <w:ind w:left="460" w:hanging="567"/>
        <w:jc w:val="both"/>
        <w:rPr>
          <w:rFonts w:cs="Arial"/>
          <w:bCs/>
        </w:rPr>
      </w:pPr>
      <w:r w:rsidRPr="00440868">
        <w:rPr>
          <w:rFonts w:cs="Arial"/>
        </w:rPr>
        <w:t xml:space="preserve">An overspend of </w:t>
      </w:r>
      <w:r w:rsidR="00440868" w:rsidRPr="00440868">
        <w:rPr>
          <w:rFonts w:cs="Arial"/>
          <w:b/>
          <w:bCs/>
        </w:rPr>
        <w:t>£37k</w:t>
      </w:r>
      <w:r w:rsidRPr="00440868">
        <w:rPr>
          <w:rFonts w:cs="Arial"/>
        </w:rPr>
        <w:t xml:space="preserve"> is caused by the following:</w:t>
      </w:r>
      <w:r w:rsidR="00EA30B3" w:rsidRPr="00440868">
        <w:rPr>
          <w:rFonts w:cs="Arial"/>
        </w:rPr>
        <w:t xml:space="preserve"> </w:t>
      </w:r>
    </w:p>
    <w:p w14:paraId="726989D3" w14:textId="77777777" w:rsidR="002656C8" w:rsidRPr="00440868" w:rsidRDefault="002656C8" w:rsidP="002656C8">
      <w:pPr>
        <w:ind w:firstLine="567"/>
        <w:rPr>
          <w:rFonts w:cs="Arial"/>
        </w:rPr>
      </w:pPr>
    </w:p>
    <w:p w14:paraId="44AFC484" w14:textId="48F55CC4" w:rsidR="008E20FC" w:rsidRPr="00440868" w:rsidRDefault="00440868" w:rsidP="007A4D31">
      <w:pPr>
        <w:pStyle w:val="ListParagraph"/>
        <w:numPr>
          <w:ilvl w:val="0"/>
          <w:numId w:val="16"/>
        </w:numPr>
        <w:rPr>
          <w:rFonts w:cs="Arial"/>
        </w:rPr>
      </w:pPr>
      <w:r w:rsidRPr="00440868">
        <w:rPr>
          <w:rFonts w:cs="Arial"/>
        </w:rPr>
        <w:t xml:space="preserve">Principal Social Worker doing more hours than budgeted </w:t>
      </w:r>
      <w:r w:rsidR="00E136DA" w:rsidRPr="00440868">
        <w:rPr>
          <w:rFonts w:cs="Arial"/>
        </w:rPr>
        <w:t>totalling</w:t>
      </w:r>
      <w:r w:rsidRPr="00440868">
        <w:rPr>
          <w:rFonts w:cs="Arial"/>
        </w:rPr>
        <w:t xml:space="preserve"> £17k with the remainder relating to ICT and consultant costs.</w:t>
      </w:r>
    </w:p>
    <w:p w14:paraId="2612E0BC" w14:textId="003D39FA" w:rsidR="008E20FC" w:rsidRPr="00440868" w:rsidRDefault="008E20FC" w:rsidP="008E20FC">
      <w:pPr>
        <w:rPr>
          <w:rFonts w:cs="Arial"/>
        </w:rPr>
      </w:pPr>
    </w:p>
    <w:p w14:paraId="51CB711A" w14:textId="4730D13C" w:rsidR="00EA30B3" w:rsidRPr="00440868" w:rsidRDefault="00EA30B3" w:rsidP="007A4D31">
      <w:pPr>
        <w:pStyle w:val="ListParagraph"/>
        <w:numPr>
          <w:ilvl w:val="0"/>
          <w:numId w:val="5"/>
        </w:numPr>
        <w:ind w:left="460" w:hanging="567"/>
        <w:jc w:val="both"/>
        <w:rPr>
          <w:rFonts w:cs="Arial"/>
          <w:b/>
          <w:bCs/>
        </w:rPr>
      </w:pPr>
      <w:r w:rsidRPr="00440868">
        <w:rPr>
          <w:rFonts w:cs="Arial"/>
          <w:b/>
          <w:bCs/>
        </w:rPr>
        <w:t>Purchasing</w:t>
      </w:r>
    </w:p>
    <w:p w14:paraId="299E1C70" w14:textId="77777777" w:rsidR="00EA30B3" w:rsidRPr="00440868" w:rsidRDefault="00EA30B3" w:rsidP="00EA30B3">
      <w:pPr>
        <w:pStyle w:val="ListParagraph"/>
        <w:ind w:left="460"/>
        <w:jc w:val="both"/>
        <w:rPr>
          <w:rFonts w:cs="Arial"/>
          <w:bCs/>
        </w:rPr>
      </w:pPr>
    </w:p>
    <w:p w14:paraId="4E9DC5F0" w14:textId="188C8794" w:rsidR="00EA30B3" w:rsidRPr="00440868" w:rsidRDefault="008E20FC" w:rsidP="007A4D31">
      <w:pPr>
        <w:pStyle w:val="ListParagraph"/>
        <w:numPr>
          <w:ilvl w:val="0"/>
          <w:numId w:val="5"/>
        </w:numPr>
        <w:ind w:left="460" w:hanging="567"/>
        <w:jc w:val="both"/>
        <w:rPr>
          <w:rFonts w:cs="Arial"/>
          <w:bCs/>
        </w:rPr>
      </w:pPr>
      <w:r w:rsidRPr="00440868">
        <w:rPr>
          <w:rFonts w:cs="Arial"/>
        </w:rPr>
        <w:t>A total net underspend of £</w:t>
      </w:r>
      <w:r w:rsidR="00F16C1D">
        <w:rPr>
          <w:rFonts w:cs="Arial"/>
        </w:rPr>
        <w:t>624k</w:t>
      </w:r>
      <w:r w:rsidRPr="00440868">
        <w:rPr>
          <w:rFonts w:cs="Arial"/>
        </w:rPr>
        <w:t xml:space="preserve"> </w:t>
      </w:r>
      <w:r w:rsidR="00440868" w:rsidRPr="00440868">
        <w:rPr>
          <w:rFonts w:cs="Arial"/>
        </w:rPr>
        <w:t>after a contribution to reserves of £1.3m. The cause of the underspend on purchasing is as follows</w:t>
      </w:r>
      <w:r w:rsidR="002656C8" w:rsidRPr="00440868">
        <w:rPr>
          <w:rFonts w:cs="Arial"/>
        </w:rPr>
        <w:t>:</w:t>
      </w:r>
      <w:r w:rsidR="00EA30B3" w:rsidRPr="00440868">
        <w:rPr>
          <w:rFonts w:cs="Arial"/>
        </w:rPr>
        <w:t xml:space="preserve"> </w:t>
      </w:r>
    </w:p>
    <w:p w14:paraId="0BE03961" w14:textId="77777777" w:rsidR="002656C8" w:rsidRPr="00440868" w:rsidRDefault="002656C8" w:rsidP="002656C8">
      <w:pPr>
        <w:pStyle w:val="ListParagraph"/>
        <w:rPr>
          <w:rFonts w:cs="Arial"/>
        </w:rPr>
      </w:pPr>
    </w:p>
    <w:p w14:paraId="1795423B" w14:textId="0F2D412F" w:rsidR="002656C8" w:rsidRPr="00440868" w:rsidRDefault="00440868" w:rsidP="007A4D31">
      <w:pPr>
        <w:pStyle w:val="ListParagraph"/>
        <w:numPr>
          <w:ilvl w:val="0"/>
          <w:numId w:val="17"/>
        </w:numPr>
        <w:jc w:val="both"/>
        <w:rPr>
          <w:rFonts w:cs="Arial"/>
          <w:bCs/>
        </w:rPr>
      </w:pPr>
      <w:r w:rsidRPr="00440868">
        <w:rPr>
          <w:rFonts w:cs="Arial"/>
        </w:rPr>
        <w:t>The budget assumed 325 deaths in 2021-22. However, there have been a higher number of deaths this financial year</w:t>
      </w:r>
      <w:r w:rsidR="00BC4624">
        <w:rPr>
          <w:rFonts w:cs="Arial"/>
        </w:rPr>
        <w:t xml:space="preserve"> and the final total is 524 – an additional 199 deaths</w:t>
      </w:r>
    </w:p>
    <w:p w14:paraId="13EAE54D" w14:textId="77777777" w:rsidR="00440868" w:rsidRPr="00440868" w:rsidRDefault="00440868" w:rsidP="00440868">
      <w:pPr>
        <w:pStyle w:val="ListParagraph"/>
        <w:ind w:left="1287"/>
        <w:jc w:val="both"/>
        <w:rPr>
          <w:rFonts w:cs="Arial"/>
          <w:bCs/>
        </w:rPr>
      </w:pPr>
    </w:p>
    <w:p w14:paraId="3B609BB2" w14:textId="216C3FE3" w:rsidR="00440868" w:rsidRPr="00440868" w:rsidRDefault="00440868" w:rsidP="007A4D31">
      <w:pPr>
        <w:pStyle w:val="ListParagraph"/>
        <w:numPr>
          <w:ilvl w:val="0"/>
          <w:numId w:val="17"/>
        </w:numPr>
        <w:jc w:val="both"/>
        <w:rPr>
          <w:rFonts w:cs="Arial"/>
          <w:bCs/>
        </w:rPr>
      </w:pPr>
      <w:r w:rsidRPr="00440868">
        <w:rPr>
          <w:rFonts w:cs="Arial"/>
        </w:rPr>
        <w:lastRenderedPageBreak/>
        <w:t xml:space="preserve">The budget assumed 15 new care packages per week (11 in community and 4 in residential and nursing). For the financial year there has actually been </w:t>
      </w:r>
      <w:r w:rsidR="00452CAC" w:rsidRPr="00440868">
        <w:rPr>
          <w:rFonts w:cs="Arial"/>
        </w:rPr>
        <w:t>an</w:t>
      </w:r>
      <w:r w:rsidR="00BC4624">
        <w:rPr>
          <w:rFonts w:cs="Arial"/>
        </w:rPr>
        <w:t xml:space="preserve"> average of 17 new packages per week, however this was offset by a reduction of 5 packages per week for existing packages of care (excluding deaths). There was also a further 989 packages of care which started and finished in the year, a large proportion of these cases would have related to hospital discharges. T</w:t>
      </w:r>
      <w:r w:rsidRPr="00440868">
        <w:rPr>
          <w:rFonts w:cs="Arial"/>
        </w:rPr>
        <w:t xml:space="preserve">he </w:t>
      </w:r>
      <w:r w:rsidR="00E136DA" w:rsidRPr="00440868">
        <w:rPr>
          <w:rFonts w:cs="Arial"/>
        </w:rPr>
        <w:t>strength-based</w:t>
      </w:r>
      <w:r w:rsidRPr="00440868">
        <w:rPr>
          <w:rFonts w:cs="Arial"/>
        </w:rPr>
        <w:t xml:space="preserve"> approach (3 Conversations) and a widening of the scope of Reablement </w:t>
      </w:r>
      <w:r w:rsidR="00BC4624">
        <w:rPr>
          <w:rFonts w:cs="Arial"/>
        </w:rPr>
        <w:t>will have been contributory factors in this respect.</w:t>
      </w:r>
    </w:p>
    <w:p w14:paraId="056C849C" w14:textId="77777777" w:rsidR="00440868" w:rsidRPr="00440868" w:rsidRDefault="00440868" w:rsidP="00440868">
      <w:pPr>
        <w:pStyle w:val="ListParagraph"/>
        <w:rPr>
          <w:rFonts w:cs="Arial"/>
          <w:bCs/>
        </w:rPr>
      </w:pPr>
    </w:p>
    <w:p w14:paraId="41BF4CA1" w14:textId="7D004D6B" w:rsidR="00440868" w:rsidRPr="00440868" w:rsidRDefault="00440868" w:rsidP="007A4D31">
      <w:pPr>
        <w:pStyle w:val="ListParagraph"/>
        <w:numPr>
          <w:ilvl w:val="0"/>
          <w:numId w:val="17"/>
        </w:numPr>
        <w:jc w:val="both"/>
        <w:rPr>
          <w:rFonts w:cs="Arial"/>
          <w:bCs/>
        </w:rPr>
      </w:pPr>
      <w:r w:rsidRPr="00440868">
        <w:rPr>
          <w:rFonts w:cs="Arial"/>
          <w:bCs/>
        </w:rPr>
        <w:t>Additional income arising from the charging policy</w:t>
      </w:r>
    </w:p>
    <w:p w14:paraId="13949569" w14:textId="77777777" w:rsidR="00440868" w:rsidRPr="00440868" w:rsidRDefault="00440868" w:rsidP="00440868">
      <w:pPr>
        <w:pStyle w:val="ListParagraph"/>
        <w:rPr>
          <w:rFonts w:cs="Arial"/>
          <w:bCs/>
        </w:rPr>
      </w:pPr>
    </w:p>
    <w:p w14:paraId="0FA6F869" w14:textId="1BC85130" w:rsidR="00440868" w:rsidRPr="00440868" w:rsidRDefault="00440868" w:rsidP="007A4D31">
      <w:pPr>
        <w:pStyle w:val="ListParagraph"/>
        <w:numPr>
          <w:ilvl w:val="0"/>
          <w:numId w:val="17"/>
        </w:numPr>
        <w:jc w:val="both"/>
        <w:rPr>
          <w:rFonts w:cs="Arial"/>
          <w:bCs/>
        </w:rPr>
      </w:pPr>
      <w:r w:rsidRPr="00440868">
        <w:rPr>
          <w:rFonts w:cs="Arial"/>
          <w:bCs/>
        </w:rPr>
        <w:t xml:space="preserve">Better Care Fund (BCF) uplift </w:t>
      </w:r>
      <w:r w:rsidR="00BC4624">
        <w:rPr>
          <w:rFonts w:cs="Arial"/>
          <w:bCs/>
        </w:rPr>
        <w:t>resulted in a favourable variance of £115k.</w:t>
      </w:r>
    </w:p>
    <w:p w14:paraId="6086E2C8" w14:textId="77777777" w:rsidR="00440868" w:rsidRPr="00440868" w:rsidRDefault="00440868" w:rsidP="00440868">
      <w:pPr>
        <w:pStyle w:val="ListParagraph"/>
        <w:rPr>
          <w:rFonts w:cs="Arial"/>
          <w:bCs/>
        </w:rPr>
      </w:pPr>
    </w:p>
    <w:p w14:paraId="08953E62" w14:textId="2CA9D2C5" w:rsidR="00440868" w:rsidRPr="00440868" w:rsidRDefault="00440868" w:rsidP="007A4D31">
      <w:pPr>
        <w:pStyle w:val="ListParagraph"/>
        <w:numPr>
          <w:ilvl w:val="0"/>
          <w:numId w:val="17"/>
        </w:numPr>
        <w:jc w:val="both"/>
        <w:rPr>
          <w:rFonts w:cs="Arial"/>
          <w:bCs/>
        </w:rPr>
      </w:pPr>
      <w:r w:rsidRPr="00440868">
        <w:rPr>
          <w:rFonts w:cs="Arial"/>
          <w:bCs/>
        </w:rPr>
        <w:t>An underspend of £</w:t>
      </w:r>
      <w:r w:rsidR="00F16C1D">
        <w:rPr>
          <w:rFonts w:cs="Arial"/>
          <w:bCs/>
        </w:rPr>
        <w:t>600k</w:t>
      </w:r>
      <w:r w:rsidRPr="00440868">
        <w:rPr>
          <w:rFonts w:cs="Arial"/>
          <w:bCs/>
        </w:rPr>
        <w:t xml:space="preserve"> in the 0-18 CYAD Service. For residential, </w:t>
      </w:r>
      <w:r w:rsidR="00E136DA" w:rsidRPr="00440868">
        <w:rPr>
          <w:rFonts w:cs="Arial"/>
          <w:bCs/>
        </w:rPr>
        <w:t>Domiciliary</w:t>
      </w:r>
      <w:r w:rsidRPr="00440868">
        <w:rPr>
          <w:rFonts w:cs="Arial"/>
          <w:bCs/>
        </w:rPr>
        <w:t xml:space="preserve"> and Respite services, growth has not been required due to larger care packages dropping out of the service, which has effectively covered the cost of any new packages starting in 2021-22. New agreements with the CCG have also led to an increased income of £140k compared to budget.</w:t>
      </w:r>
    </w:p>
    <w:p w14:paraId="3FFC6603" w14:textId="77777777" w:rsidR="00EA30B3" w:rsidRPr="00440868" w:rsidRDefault="00EA30B3" w:rsidP="00EA30B3">
      <w:pPr>
        <w:pStyle w:val="ListParagraph"/>
        <w:rPr>
          <w:rFonts w:cs="Arial"/>
        </w:rPr>
      </w:pPr>
    </w:p>
    <w:p w14:paraId="1511207F" w14:textId="32B4CF49" w:rsidR="00EA30B3" w:rsidRPr="00440868" w:rsidRDefault="00440868" w:rsidP="007A4D31">
      <w:pPr>
        <w:pStyle w:val="ListParagraph"/>
        <w:numPr>
          <w:ilvl w:val="0"/>
          <w:numId w:val="5"/>
        </w:numPr>
        <w:ind w:left="460" w:hanging="567"/>
        <w:jc w:val="both"/>
        <w:rPr>
          <w:rFonts w:cs="Arial"/>
        </w:rPr>
      </w:pPr>
      <w:r w:rsidRPr="00440868">
        <w:rPr>
          <w:rFonts w:cs="Arial"/>
        </w:rPr>
        <w:t>The underspend was partially offset by:</w:t>
      </w:r>
    </w:p>
    <w:p w14:paraId="075E657A" w14:textId="77777777" w:rsidR="002656C8" w:rsidRPr="00440868" w:rsidRDefault="002656C8" w:rsidP="002656C8">
      <w:pPr>
        <w:pStyle w:val="ListParagraph"/>
        <w:ind w:left="567"/>
        <w:jc w:val="both"/>
        <w:rPr>
          <w:rFonts w:cs="Arial"/>
        </w:rPr>
      </w:pPr>
    </w:p>
    <w:p w14:paraId="33CA6BC9" w14:textId="707FDCCC" w:rsidR="008E20FC" w:rsidRPr="00440868" w:rsidRDefault="00440868" w:rsidP="007A4D31">
      <w:pPr>
        <w:pStyle w:val="ListParagraph"/>
        <w:numPr>
          <w:ilvl w:val="0"/>
          <w:numId w:val="18"/>
        </w:numPr>
        <w:jc w:val="both"/>
        <w:rPr>
          <w:rFonts w:cs="Arial"/>
        </w:rPr>
      </w:pPr>
      <w:r w:rsidRPr="00440868">
        <w:rPr>
          <w:rFonts w:cs="Arial"/>
        </w:rPr>
        <w:t>An increase in bad debt provision of £1.570m, resulting in a provision of £3.311m being held against outstanding debt of £10.7</w:t>
      </w:r>
      <w:r w:rsidR="00BC4624">
        <w:rPr>
          <w:rFonts w:cs="Arial"/>
        </w:rPr>
        <w:t>82</w:t>
      </w:r>
      <w:r w:rsidRPr="00440868">
        <w:rPr>
          <w:rFonts w:cs="Arial"/>
        </w:rPr>
        <w:t>m.</w:t>
      </w:r>
    </w:p>
    <w:p w14:paraId="7795CA98" w14:textId="6952943C" w:rsidR="008E20FC" w:rsidRPr="00B37833" w:rsidRDefault="008E20FC" w:rsidP="008E20FC">
      <w:pPr>
        <w:rPr>
          <w:rFonts w:cs="Arial"/>
          <w:color w:val="FF0000"/>
        </w:rPr>
      </w:pPr>
    </w:p>
    <w:p w14:paraId="20CC6745" w14:textId="01D01C41" w:rsidR="00EA30B3" w:rsidRPr="00F16C1D" w:rsidRDefault="00EA30B3" w:rsidP="007A4D31">
      <w:pPr>
        <w:pStyle w:val="ListParagraph"/>
        <w:numPr>
          <w:ilvl w:val="0"/>
          <w:numId w:val="5"/>
        </w:numPr>
        <w:ind w:left="460" w:hanging="567"/>
        <w:jc w:val="both"/>
        <w:rPr>
          <w:rFonts w:cs="Arial"/>
          <w:b/>
          <w:bCs/>
        </w:rPr>
      </w:pPr>
      <w:r w:rsidRPr="00F16C1D">
        <w:rPr>
          <w:rFonts w:cs="Arial"/>
          <w:b/>
          <w:bCs/>
        </w:rPr>
        <w:t xml:space="preserve">Mental </w:t>
      </w:r>
      <w:r w:rsidR="002656C8" w:rsidRPr="00F16C1D">
        <w:rPr>
          <w:rFonts w:cs="Arial"/>
          <w:b/>
          <w:bCs/>
        </w:rPr>
        <w:t>Health</w:t>
      </w:r>
    </w:p>
    <w:p w14:paraId="60337F47" w14:textId="77777777" w:rsidR="00EA30B3" w:rsidRPr="00F16C1D" w:rsidRDefault="00EA30B3" w:rsidP="00EA30B3">
      <w:pPr>
        <w:pStyle w:val="ListParagraph"/>
        <w:ind w:left="460"/>
        <w:jc w:val="both"/>
        <w:rPr>
          <w:rFonts w:cs="Arial"/>
          <w:b/>
          <w:bCs/>
        </w:rPr>
      </w:pPr>
    </w:p>
    <w:p w14:paraId="2587D872" w14:textId="1283BEEE" w:rsidR="00EA30B3" w:rsidRPr="00F16C1D" w:rsidRDefault="008E20FC" w:rsidP="007A4D31">
      <w:pPr>
        <w:pStyle w:val="ListParagraph"/>
        <w:numPr>
          <w:ilvl w:val="0"/>
          <w:numId w:val="5"/>
        </w:numPr>
        <w:ind w:left="460" w:hanging="567"/>
        <w:jc w:val="both"/>
        <w:rPr>
          <w:rFonts w:cs="Arial"/>
          <w:b/>
          <w:bCs/>
        </w:rPr>
      </w:pPr>
      <w:r w:rsidRPr="00F16C1D">
        <w:rPr>
          <w:rFonts w:cs="Arial"/>
        </w:rPr>
        <w:t xml:space="preserve">Underspend of </w:t>
      </w:r>
      <w:r w:rsidRPr="00F16C1D">
        <w:rPr>
          <w:rFonts w:cs="Arial"/>
          <w:b/>
          <w:bCs/>
        </w:rPr>
        <w:t>£</w:t>
      </w:r>
      <w:r w:rsidR="00F16C1D" w:rsidRPr="00F16C1D">
        <w:rPr>
          <w:rFonts w:cs="Arial"/>
          <w:b/>
          <w:bCs/>
        </w:rPr>
        <w:t xml:space="preserve">161k </w:t>
      </w:r>
      <w:r w:rsidR="00440868" w:rsidRPr="00F16C1D">
        <w:rPr>
          <w:rFonts w:eastAsia="Calibri" w:cs="Arial"/>
        </w:rPr>
        <w:t>–</w:t>
      </w:r>
      <w:r w:rsidRPr="00F16C1D">
        <w:rPr>
          <w:rFonts w:eastAsia="Calibri" w:cs="Arial"/>
        </w:rPr>
        <w:t xml:space="preserve"> </w:t>
      </w:r>
      <w:r w:rsidR="00440868" w:rsidRPr="00F16C1D">
        <w:rPr>
          <w:rFonts w:eastAsia="Calibri" w:cs="Arial"/>
        </w:rPr>
        <w:t>The number and costs of placements has increased in this financial year compared to last. However, the spend is withing budget due to a focus on step downs for suitable service users</w:t>
      </w:r>
      <w:r w:rsidR="00F16C1D" w:rsidRPr="00F16C1D">
        <w:rPr>
          <w:rFonts w:eastAsia="Calibri" w:cs="Arial"/>
        </w:rPr>
        <w:t>, a backlog of outstanding financial assessments having now been completed and a recharge of relevant costs to non-Harrow CCGs and other local authorities.</w:t>
      </w:r>
    </w:p>
    <w:p w14:paraId="678741C9" w14:textId="77777777" w:rsidR="00EA30B3" w:rsidRPr="00F16C1D" w:rsidRDefault="00EA30B3" w:rsidP="00EA30B3">
      <w:pPr>
        <w:pStyle w:val="ListParagraph"/>
        <w:rPr>
          <w:rFonts w:cs="Arial"/>
          <w:b/>
          <w:bCs/>
        </w:rPr>
      </w:pPr>
    </w:p>
    <w:p w14:paraId="7A9A019C" w14:textId="77777777" w:rsidR="00EA30B3" w:rsidRPr="00F16C1D" w:rsidRDefault="002656C8" w:rsidP="007A4D31">
      <w:pPr>
        <w:pStyle w:val="ListParagraph"/>
        <w:numPr>
          <w:ilvl w:val="0"/>
          <w:numId w:val="5"/>
        </w:numPr>
        <w:ind w:left="460" w:hanging="567"/>
        <w:jc w:val="both"/>
        <w:rPr>
          <w:rFonts w:cs="Arial"/>
          <w:b/>
          <w:bCs/>
        </w:rPr>
      </w:pPr>
      <w:r w:rsidRPr="00F16C1D">
        <w:rPr>
          <w:rFonts w:cs="Arial"/>
          <w:b/>
          <w:bCs/>
        </w:rPr>
        <w:t>Other Adults</w:t>
      </w:r>
    </w:p>
    <w:p w14:paraId="013CBE67" w14:textId="77777777" w:rsidR="00EA30B3" w:rsidRPr="00F16C1D" w:rsidRDefault="00EA30B3" w:rsidP="00EA30B3">
      <w:pPr>
        <w:pStyle w:val="ListParagraph"/>
        <w:rPr>
          <w:rFonts w:cs="Arial"/>
        </w:rPr>
      </w:pPr>
    </w:p>
    <w:p w14:paraId="69B4E3F1" w14:textId="43D6870B" w:rsidR="00EA30B3" w:rsidRPr="00F16C1D" w:rsidRDefault="008E20FC" w:rsidP="007A4D31">
      <w:pPr>
        <w:pStyle w:val="ListParagraph"/>
        <w:numPr>
          <w:ilvl w:val="0"/>
          <w:numId w:val="5"/>
        </w:numPr>
        <w:ind w:left="460" w:hanging="567"/>
        <w:jc w:val="both"/>
        <w:rPr>
          <w:rFonts w:cs="Arial"/>
          <w:b/>
          <w:bCs/>
        </w:rPr>
      </w:pPr>
      <w:r w:rsidRPr="00F16C1D">
        <w:rPr>
          <w:rFonts w:cs="Arial"/>
        </w:rPr>
        <w:t xml:space="preserve">Overspend of </w:t>
      </w:r>
      <w:r w:rsidRPr="00F16C1D">
        <w:rPr>
          <w:rFonts w:cs="Arial"/>
          <w:b/>
          <w:bCs/>
        </w:rPr>
        <w:t>£</w:t>
      </w:r>
      <w:r w:rsidR="00F16C1D" w:rsidRPr="00F16C1D">
        <w:rPr>
          <w:rFonts w:cs="Arial"/>
          <w:b/>
          <w:bCs/>
        </w:rPr>
        <w:t>325k</w:t>
      </w:r>
      <w:r w:rsidRPr="00F16C1D">
        <w:rPr>
          <w:rFonts w:cs="Arial"/>
        </w:rPr>
        <w:t xml:space="preserve"> </w:t>
      </w:r>
      <w:r w:rsidR="00F16C1D" w:rsidRPr="00F16C1D">
        <w:rPr>
          <w:rFonts w:cs="Arial"/>
        </w:rPr>
        <w:t>due to:</w:t>
      </w:r>
    </w:p>
    <w:p w14:paraId="20AF9D09" w14:textId="77777777" w:rsidR="00F16C1D" w:rsidRPr="00F16C1D" w:rsidRDefault="00F16C1D" w:rsidP="00F16C1D">
      <w:pPr>
        <w:pStyle w:val="ListParagraph"/>
        <w:rPr>
          <w:rFonts w:cs="Arial"/>
          <w:b/>
          <w:bCs/>
        </w:rPr>
      </w:pPr>
    </w:p>
    <w:p w14:paraId="17292651" w14:textId="6C8B141C" w:rsidR="00F16C1D" w:rsidRPr="00F16C1D" w:rsidRDefault="00F16C1D" w:rsidP="00F16C1D">
      <w:pPr>
        <w:pStyle w:val="ListParagraph"/>
        <w:numPr>
          <w:ilvl w:val="1"/>
          <w:numId w:val="5"/>
        </w:numPr>
        <w:ind w:left="1276"/>
        <w:jc w:val="both"/>
        <w:rPr>
          <w:rFonts w:cs="Arial"/>
          <w:b/>
          <w:bCs/>
        </w:rPr>
      </w:pPr>
      <w:r w:rsidRPr="00F16C1D">
        <w:rPr>
          <w:rFonts w:cs="Arial"/>
          <w:b/>
          <w:bCs/>
        </w:rPr>
        <w:t>Equipment</w:t>
      </w:r>
      <w:r w:rsidRPr="00F16C1D">
        <w:rPr>
          <w:rFonts w:cs="Arial"/>
        </w:rPr>
        <w:t xml:space="preserve"> – net overspend £128k. This is due to a </w:t>
      </w:r>
      <w:r w:rsidR="00E136DA" w:rsidRPr="00F16C1D">
        <w:rPr>
          <w:rFonts w:cs="Arial"/>
        </w:rPr>
        <w:t>newly</w:t>
      </w:r>
      <w:r w:rsidRPr="00F16C1D">
        <w:rPr>
          <w:rFonts w:cs="Arial"/>
        </w:rPr>
        <w:t xml:space="preserve"> agreed split of equipment costs between the CCG and the LA which has added pressure to the budget</w:t>
      </w:r>
    </w:p>
    <w:p w14:paraId="3A8536A2" w14:textId="238DCA62" w:rsidR="00AF59F9" w:rsidRDefault="00AF59F9" w:rsidP="00AF59F9">
      <w:pPr>
        <w:pStyle w:val="ListParagraph"/>
        <w:ind w:left="1276"/>
        <w:jc w:val="both"/>
        <w:rPr>
          <w:rFonts w:cs="Arial"/>
          <w:b/>
          <w:bCs/>
        </w:rPr>
      </w:pPr>
    </w:p>
    <w:p w14:paraId="1199C9CD" w14:textId="77777777" w:rsidR="00AF59F9" w:rsidRDefault="00AF59F9" w:rsidP="00AF59F9">
      <w:pPr>
        <w:pStyle w:val="ListParagraph"/>
        <w:ind w:left="1276"/>
        <w:jc w:val="both"/>
        <w:rPr>
          <w:rFonts w:cs="Arial"/>
          <w:b/>
          <w:bCs/>
        </w:rPr>
      </w:pPr>
    </w:p>
    <w:p w14:paraId="44F425FF" w14:textId="4C2174A8" w:rsidR="00F16C1D" w:rsidRPr="00F16C1D" w:rsidRDefault="00F16C1D" w:rsidP="00F16C1D">
      <w:pPr>
        <w:pStyle w:val="ListParagraph"/>
        <w:numPr>
          <w:ilvl w:val="1"/>
          <w:numId w:val="5"/>
        </w:numPr>
        <w:ind w:left="1276"/>
        <w:jc w:val="both"/>
        <w:rPr>
          <w:rFonts w:cs="Arial"/>
          <w:b/>
          <w:bCs/>
        </w:rPr>
      </w:pPr>
      <w:r w:rsidRPr="00F16C1D">
        <w:rPr>
          <w:rFonts w:cs="Arial"/>
          <w:b/>
          <w:bCs/>
        </w:rPr>
        <w:t>Staffing</w:t>
      </w:r>
      <w:r w:rsidRPr="00F16C1D">
        <w:rPr>
          <w:rFonts w:cs="Arial"/>
        </w:rPr>
        <w:t xml:space="preserve"> – net overspend £277k. </w:t>
      </w:r>
      <w:r w:rsidR="00E136DA" w:rsidRPr="00F16C1D">
        <w:rPr>
          <w:rFonts w:cs="Arial"/>
        </w:rPr>
        <w:t>This</w:t>
      </w:r>
      <w:r w:rsidRPr="00F16C1D">
        <w:rPr>
          <w:rFonts w:cs="Arial"/>
        </w:rPr>
        <w:t xml:space="preserve"> is primarily due to agency staff covering permanent posts and their rates being substantially higher than permanent staffing budgets</w:t>
      </w:r>
    </w:p>
    <w:p w14:paraId="3F501CB0" w14:textId="77777777" w:rsidR="00AF59F9" w:rsidRDefault="00AF59F9" w:rsidP="00AF59F9">
      <w:pPr>
        <w:pStyle w:val="ListParagraph"/>
        <w:ind w:left="1276"/>
        <w:jc w:val="both"/>
        <w:rPr>
          <w:rFonts w:cs="Arial"/>
          <w:b/>
          <w:bCs/>
        </w:rPr>
      </w:pPr>
    </w:p>
    <w:p w14:paraId="41A62D43" w14:textId="53DF79CA" w:rsidR="00F16C1D" w:rsidRPr="00F16C1D" w:rsidRDefault="00F16C1D" w:rsidP="00F16C1D">
      <w:pPr>
        <w:pStyle w:val="ListParagraph"/>
        <w:numPr>
          <w:ilvl w:val="1"/>
          <w:numId w:val="5"/>
        </w:numPr>
        <w:ind w:left="1276"/>
        <w:jc w:val="both"/>
        <w:rPr>
          <w:rFonts w:cs="Arial"/>
          <w:b/>
          <w:bCs/>
        </w:rPr>
      </w:pPr>
      <w:r w:rsidRPr="00F16C1D">
        <w:rPr>
          <w:rFonts w:cs="Arial"/>
          <w:b/>
          <w:bCs/>
        </w:rPr>
        <w:lastRenderedPageBreak/>
        <w:t>Shared Lives and The Bridge</w:t>
      </w:r>
      <w:r w:rsidRPr="00F16C1D">
        <w:rPr>
          <w:rFonts w:cs="Arial"/>
        </w:rPr>
        <w:t xml:space="preserve"> – net overspend £20k. This is due to a placement made by CNWL to Share Lives not budgeted for </w:t>
      </w:r>
      <w:r w:rsidR="00E136DA" w:rsidRPr="00F16C1D">
        <w:rPr>
          <w:rFonts w:cs="Arial"/>
        </w:rPr>
        <w:t>which</w:t>
      </w:r>
      <w:r w:rsidRPr="00F16C1D">
        <w:rPr>
          <w:rFonts w:cs="Arial"/>
        </w:rPr>
        <w:t xml:space="preserve"> has caused a £12k overspend. Utility costs for The Bridget is also £8k higher than budgeted due to increased energy costs.</w:t>
      </w:r>
    </w:p>
    <w:p w14:paraId="0B3E4047" w14:textId="77777777" w:rsidR="00AF59F9" w:rsidRDefault="00AF59F9" w:rsidP="00AF59F9">
      <w:pPr>
        <w:pStyle w:val="ListParagraph"/>
        <w:ind w:left="1276"/>
        <w:jc w:val="both"/>
        <w:rPr>
          <w:rFonts w:cs="Arial"/>
          <w:b/>
          <w:bCs/>
        </w:rPr>
      </w:pPr>
    </w:p>
    <w:p w14:paraId="036F0712" w14:textId="7F6971C3" w:rsidR="00F16C1D" w:rsidRPr="00F16C1D" w:rsidRDefault="00F16C1D" w:rsidP="00F16C1D">
      <w:pPr>
        <w:pStyle w:val="ListParagraph"/>
        <w:numPr>
          <w:ilvl w:val="1"/>
          <w:numId w:val="5"/>
        </w:numPr>
        <w:ind w:left="1276"/>
        <w:jc w:val="both"/>
        <w:rPr>
          <w:rFonts w:cs="Arial"/>
          <w:b/>
          <w:bCs/>
        </w:rPr>
      </w:pPr>
      <w:r w:rsidRPr="00F16C1D">
        <w:rPr>
          <w:rFonts w:cs="Arial"/>
          <w:b/>
          <w:bCs/>
        </w:rPr>
        <w:t>Contracts</w:t>
      </w:r>
      <w:r w:rsidRPr="00F16C1D">
        <w:rPr>
          <w:rFonts w:cs="Arial"/>
        </w:rPr>
        <w:t xml:space="preserve"> – net underspend £100k. High spending contracts with Rethink and Lookahead ended on 31 August 2021 and were replaced by new contracts with lower spend.</w:t>
      </w:r>
    </w:p>
    <w:p w14:paraId="5B997282" w14:textId="77777777" w:rsidR="00EA30B3" w:rsidRPr="00F16C1D" w:rsidRDefault="00EA30B3" w:rsidP="00EA30B3">
      <w:pPr>
        <w:pStyle w:val="ListParagraph"/>
        <w:rPr>
          <w:rFonts w:cs="Arial"/>
          <w:b/>
          <w:bCs/>
        </w:rPr>
      </w:pPr>
    </w:p>
    <w:p w14:paraId="2114C085" w14:textId="77777777" w:rsidR="00EA30B3" w:rsidRPr="00F16C1D" w:rsidRDefault="008E20FC" w:rsidP="007A4D31">
      <w:pPr>
        <w:pStyle w:val="ListParagraph"/>
        <w:numPr>
          <w:ilvl w:val="0"/>
          <w:numId w:val="5"/>
        </w:numPr>
        <w:ind w:left="460" w:hanging="567"/>
        <w:jc w:val="both"/>
        <w:rPr>
          <w:rFonts w:cs="Arial"/>
          <w:b/>
          <w:bCs/>
        </w:rPr>
      </w:pPr>
      <w:r w:rsidRPr="00F16C1D">
        <w:rPr>
          <w:rFonts w:cs="Arial"/>
          <w:b/>
          <w:bCs/>
        </w:rPr>
        <w:t>In-House services</w:t>
      </w:r>
    </w:p>
    <w:p w14:paraId="342A635E" w14:textId="77777777" w:rsidR="00EA30B3" w:rsidRPr="00F16C1D" w:rsidRDefault="00EA30B3" w:rsidP="00EA30B3">
      <w:pPr>
        <w:pStyle w:val="ListParagraph"/>
        <w:rPr>
          <w:rFonts w:eastAsia="Calibri" w:cs="Arial"/>
        </w:rPr>
      </w:pPr>
    </w:p>
    <w:p w14:paraId="23B3A48A" w14:textId="3394E647" w:rsidR="003F2C5D" w:rsidRPr="00F16C1D" w:rsidRDefault="00F16C1D" w:rsidP="00604666">
      <w:pPr>
        <w:pStyle w:val="ListParagraph"/>
        <w:numPr>
          <w:ilvl w:val="0"/>
          <w:numId w:val="5"/>
        </w:numPr>
        <w:ind w:left="460" w:hanging="567"/>
        <w:jc w:val="both"/>
        <w:rPr>
          <w:rFonts w:cs="Arial"/>
        </w:rPr>
      </w:pPr>
      <w:r w:rsidRPr="00F16C1D">
        <w:rPr>
          <w:rFonts w:eastAsia="Calibri" w:cs="Arial"/>
        </w:rPr>
        <w:t xml:space="preserve">There is an underspend </w:t>
      </w:r>
      <w:r w:rsidR="008E20FC" w:rsidRPr="00F16C1D">
        <w:rPr>
          <w:rFonts w:eastAsia="Calibri" w:cs="Arial"/>
        </w:rPr>
        <w:t xml:space="preserve">of </w:t>
      </w:r>
      <w:r w:rsidR="008E20FC" w:rsidRPr="00F16C1D">
        <w:rPr>
          <w:rFonts w:eastAsia="Calibri" w:cs="Arial"/>
          <w:b/>
          <w:bCs/>
        </w:rPr>
        <w:t>£</w:t>
      </w:r>
      <w:r w:rsidRPr="00F16C1D">
        <w:rPr>
          <w:rFonts w:eastAsia="Calibri" w:cs="Arial"/>
          <w:b/>
          <w:bCs/>
        </w:rPr>
        <w:t>628k</w:t>
      </w:r>
      <w:r w:rsidR="002656C8" w:rsidRPr="00F16C1D">
        <w:rPr>
          <w:rFonts w:eastAsia="Calibri" w:cs="Arial"/>
        </w:rPr>
        <w:t xml:space="preserve"> due </w:t>
      </w:r>
      <w:r w:rsidRPr="00F16C1D">
        <w:rPr>
          <w:rFonts w:eastAsia="Calibri" w:cs="Arial"/>
        </w:rPr>
        <w:t>to the phased opening of day care as agency posts in NRCs and transport services have not been required to be filled for a large part of the financial year. The need for vehicles to transport citizens to NRCs has also been reduced this year, meaning vehicles have been loaned out to other services and the costs paid for by these services.</w:t>
      </w:r>
    </w:p>
    <w:p w14:paraId="30C95E52" w14:textId="77777777" w:rsidR="002656C8" w:rsidRPr="00E136DA" w:rsidRDefault="002656C8" w:rsidP="002656C8">
      <w:pPr>
        <w:rPr>
          <w:rFonts w:cs="Arial"/>
          <w:b/>
          <w:bCs/>
          <w:u w:val="single"/>
        </w:rPr>
      </w:pPr>
    </w:p>
    <w:p w14:paraId="389D0819" w14:textId="4846DF19" w:rsidR="008E20FC" w:rsidRPr="00E136DA" w:rsidRDefault="008E20FC" w:rsidP="002656C8">
      <w:pPr>
        <w:rPr>
          <w:rFonts w:cs="Arial"/>
          <w:b/>
          <w:bCs/>
        </w:rPr>
      </w:pPr>
      <w:r w:rsidRPr="00E136DA">
        <w:rPr>
          <w:rFonts w:cs="Arial"/>
          <w:b/>
          <w:bCs/>
        </w:rPr>
        <w:t>Public Health</w:t>
      </w:r>
    </w:p>
    <w:p w14:paraId="56F890D2" w14:textId="77777777" w:rsidR="00EA30B3" w:rsidRPr="00E136DA" w:rsidRDefault="00EA30B3" w:rsidP="00EA30B3">
      <w:pPr>
        <w:pStyle w:val="ListParagraph"/>
        <w:rPr>
          <w:rFonts w:eastAsia="Calibri" w:cs="Arial"/>
        </w:rPr>
      </w:pPr>
    </w:p>
    <w:p w14:paraId="6274457D" w14:textId="594BD32A" w:rsidR="00EA30B3" w:rsidRPr="00E136DA" w:rsidRDefault="00EA30B3" w:rsidP="005408DC">
      <w:pPr>
        <w:pStyle w:val="ListParagraph"/>
        <w:numPr>
          <w:ilvl w:val="0"/>
          <w:numId w:val="5"/>
        </w:numPr>
        <w:ind w:left="460" w:hanging="567"/>
        <w:jc w:val="both"/>
        <w:rPr>
          <w:rFonts w:cs="Arial"/>
          <w:b/>
          <w:bCs/>
        </w:rPr>
      </w:pPr>
      <w:r w:rsidRPr="00E136DA">
        <w:rPr>
          <w:rFonts w:eastAsia="Calibri" w:cs="Arial"/>
        </w:rPr>
        <w:t xml:space="preserve">Public </w:t>
      </w:r>
      <w:r w:rsidR="003F2C5D" w:rsidRPr="00E136DA">
        <w:rPr>
          <w:rFonts w:cs="Arial"/>
        </w:rPr>
        <w:t xml:space="preserve">Health </w:t>
      </w:r>
      <w:r w:rsidR="00B87D4F" w:rsidRPr="00E136DA">
        <w:rPr>
          <w:rFonts w:cs="Arial"/>
        </w:rPr>
        <w:t xml:space="preserve">(PH) </w:t>
      </w:r>
      <w:r w:rsidR="003F2C5D" w:rsidRPr="00E136DA">
        <w:rPr>
          <w:rFonts w:cs="Arial"/>
        </w:rPr>
        <w:t>is reporting a</w:t>
      </w:r>
      <w:r w:rsidR="008E20FC" w:rsidRPr="00E136DA">
        <w:rPr>
          <w:rFonts w:cs="Arial"/>
        </w:rPr>
        <w:t xml:space="preserve"> balanced position after a contribution to the Public Health reserve of £</w:t>
      </w:r>
      <w:r w:rsidR="00F16C1D" w:rsidRPr="00E136DA">
        <w:rPr>
          <w:rFonts w:cs="Arial"/>
        </w:rPr>
        <w:t>302k</w:t>
      </w:r>
      <w:r w:rsidR="008E20FC" w:rsidRPr="00E136DA">
        <w:rPr>
          <w:rFonts w:cs="Arial"/>
        </w:rPr>
        <w:t>.</w:t>
      </w:r>
      <w:r w:rsidR="008E20FC" w:rsidRPr="00E136DA">
        <w:rPr>
          <w:rFonts w:eastAsia="Calibri" w:cs="Arial"/>
        </w:rPr>
        <w:t xml:space="preserve"> This will increase the PH reserve balance to £2.</w:t>
      </w:r>
      <w:r w:rsidR="00F16C1D" w:rsidRPr="00E136DA">
        <w:rPr>
          <w:rFonts w:eastAsia="Calibri" w:cs="Arial"/>
        </w:rPr>
        <w:t>694</w:t>
      </w:r>
      <w:r w:rsidR="008E20FC" w:rsidRPr="00E136DA">
        <w:rPr>
          <w:rFonts w:eastAsia="Calibri" w:cs="Arial"/>
        </w:rPr>
        <w:t xml:space="preserve">m at the beginning of the </w:t>
      </w:r>
      <w:r w:rsidR="00F16C1D" w:rsidRPr="00E136DA">
        <w:rPr>
          <w:rFonts w:eastAsia="Calibri" w:cs="Arial"/>
        </w:rPr>
        <w:t>2022-23</w:t>
      </w:r>
      <w:r w:rsidR="008E20FC" w:rsidRPr="00E136DA">
        <w:rPr>
          <w:rFonts w:eastAsia="Calibri" w:cs="Arial"/>
        </w:rPr>
        <w:t xml:space="preserve"> financial year</w:t>
      </w:r>
      <w:r w:rsidR="00F16C1D" w:rsidRPr="00E136DA">
        <w:rPr>
          <w:rFonts w:eastAsia="Calibri" w:cs="Arial"/>
        </w:rPr>
        <w:t xml:space="preserve">. </w:t>
      </w:r>
    </w:p>
    <w:p w14:paraId="4CF0E619" w14:textId="77777777" w:rsidR="00F16C1D" w:rsidRPr="00E136DA" w:rsidRDefault="00F16C1D" w:rsidP="00F16C1D">
      <w:pPr>
        <w:pStyle w:val="ListParagraph"/>
        <w:ind w:left="460"/>
        <w:jc w:val="both"/>
        <w:rPr>
          <w:rFonts w:cs="Arial"/>
          <w:b/>
          <w:bCs/>
        </w:rPr>
      </w:pPr>
    </w:p>
    <w:p w14:paraId="3578E2AE" w14:textId="77777777" w:rsidR="00EA30B3" w:rsidRPr="00E136DA" w:rsidRDefault="008E20FC" w:rsidP="007A4D31">
      <w:pPr>
        <w:pStyle w:val="ListParagraph"/>
        <w:numPr>
          <w:ilvl w:val="0"/>
          <w:numId w:val="5"/>
        </w:numPr>
        <w:ind w:left="460" w:hanging="567"/>
        <w:jc w:val="both"/>
        <w:rPr>
          <w:rFonts w:cs="Arial"/>
          <w:b/>
          <w:bCs/>
        </w:rPr>
      </w:pPr>
      <w:r w:rsidRPr="00E136DA">
        <w:rPr>
          <w:rFonts w:eastAsia="Calibri" w:cs="Arial"/>
        </w:rPr>
        <w:t>Underspends on Public Health relate to the following:</w:t>
      </w:r>
    </w:p>
    <w:p w14:paraId="3497305F" w14:textId="77777777" w:rsidR="003F2C5D" w:rsidRPr="00E136DA" w:rsidRDefault="003F2C5D" w:rsidP="003F2C5D">
      <w:pPr>
        <w:pStyle w:val="ListParagraph"/>
        <w:rPr>
          <w:rFonts w:cs="Arial"/>
        </w:rPr>
      </w:pPr>
    </w:p>
    <w:p w14:paraId="55B4CD9D" w14:textId="6DFF2803" w:rsidR="003F2C5D" w:rsidRPr="00E136DA" w:rsidRDefault="008E20FC" w:rsidP="007A4D31">
      <w:pPr>
        <w:pStyle w:val="ListParagraph"/>
        <w:numPr>
          <w:ilvl w:val="0"/>
          <w:numId w:val="19"/>
        </w:numPr>
        <w:jc w:val="both"/>
        <w:rPr>
          <w:rFonts w:cs="Arial"/>
          <w:b/>
          <w:bCs/>
        </w:rPr>
      </w:pPr>
      <w:r w:rsidRPr="00AF59F9">
        <w:rPr>
          <w:rFonts w:cs="Arial"/>
          <w:b/>
          <w:bCs/>
        </w:rPr>
        <w:t>Sexual health</w:t>
      </w:r>
      <w:r w:rsidRPr="00E136DA">
        <w:rPr>
          <w:rFonts w:cs="Arial"/>
        </w:rPr>
        <w:t xml:space="preserve"> </w:t>
      </w:r>
      <w:r w:rsidRPr="00AF59F9">
        <w:rPr>
          <w:rFonts w:cs="Arial"/>
        </w:rPr>
        <w:t xml:space="preserve">– </w:t>
      </w:r>
      <w:r w:rsidR="00E136DA" w:rsidRPr="00AF59F9">
        <w:rPr>
          <w:rFonts w:cs="Arial"/>
        </w:rPr>
        <w:t xml:space="preserve">net underspend </w:t>
      </w:r>
      <w:r w:rsidRPr="00AF59F9">
        <w:rPr>
          <w:rFonts w:cs="Arial"/>
        </w:rPr>
        <w:t>£</w:t>
      </w:r>
      <w:r w:rsidR="00F16C1D" w:rsidRPr="00AF59F9">
        <w:rPr>
          <w:rFonts w:cs="Arial"/>
        </w:rPr>
        <w:t>329k</w:t>
      </w:r>
      <w:r w:rsidRPr="00E136DA">
        <w:rPr>
          <w:rFonts w:cs="Arial"/>
        </w:rPr>
        <w:t>, which reflect</w:t>
      </w:r>
      <w:r w:rsidR="00E136DA" w:rsidRPr="00E136DA">
        <w:rPr>
          <w:rFonts w:cs="Arial"/>
        </w:rPr>
        <w:t>s</w:t>
      </w:r>
      <w:r w:rsidRPr="00E136DA">
        <w:rPr>
          <w:rFonts w:cs="Arial"/>
        </w:rPr>
        <w:t xml:space="preserve"> the agreed block payments </w:t>
      </w:r>
      <w:r w:rsidR="00F16C1D" w:rsidRPr="00E136DA">
        <w:rPr>
          <w:rFonts w:cs="Arial"/>
        </w:rPr>
        <w:t>for 2020-21 during Covid-19 and continuing into 2021-22</w:t>
      </w:r>
    </w:p>
    <w:p w14:paraId="169B27EE" w14:textId="77777777" w:rsidR="00AF59F9" w:rsidRDefault="00AF59F9" w:rsidP="00AF59F9">
      <w:pPr>
        <w:pStyle w:val="ListParagraph"/>
        <w:ind w:left="1287"/>
        <w:jc w:val="both"/>
        <w:rPr>
          <w:rFonts w:cs="Arial"/>
          <w:b/>
          <w:bCs/>
        </w:rPr>
      </w:pPr>
    </w:p>
    <w:p w14:paraId="613E3010" w14:textId="5E8E5D38" w:rsidR="003F2C5D" w:rsidRPr="00E136DA" w:rsidRDefault="008E20FC" w:rsidP="007A4D31">
      <w:pPr>
        <w:pStyle w:val="ListParagraph"/>
        <w:numPr>
          <w:ilvl w:val="0"/>
          <w:numId w:val="19"/>
        </w:numPr>
        <w:jc w:val="both"/>
        <w:rPr>
          <w:rFonts w:cs="Arial"/>
          <w:b/>
          <w:bCs/>
        </w:rPr>
      </w:pPr>
      <w:r w:rsidRPr="00AF59F9">
        <w:rPr>
          <w:rFonts w:cs="Arial"/>
          <w:b/>
          <w:bCs/>
        </w:rPr>
        <w:t>Health checks</w:t>
      </w:r>
      <w:r w:rsidRPr="00E136DA">
        <w:rPr>
          <w:rFonts w:cs="Arial"/>
        </w:rPr>
        <w:t xml:space="preserve"> </w:t>
      </w:r>
      <w:r w:rsidRPr="00AF59F9">
        <w:rPr>
          <w:rFonts w:cs="Arial"/>
        </w:rPr>
        <w:t>– n</w:t>
      </w:r>
      <w:r w:rsidR="00E136DA" w:rsidRPr="00AF59F9">
        <w:rPr>
          <w:rFonts w:cs="Arial"/>
        </w:rPr>
        <w:t>et</w:t>
      </w:r>
      <w:r w:rsidRPr="00AF59F9">
        <w:rPr>
          <w:rFonts w:cs="Arial"/>
        </w:rPr>
        <w:t xml:space="preserve"> underspend £</w:t>
      </w:r>
      <w:r w:rsidR="00F16C1D" w:rsidRPr="00AF59F9">
        <w:rPr>
          <w:rFonts w:cs="Arial"/>
        </w:rPr>
        <w:t>9</w:t>
      </w:r>
      <w:r w:rsidRPr="00AF59F9">
        <w:rPr>
          <w:rFonts w:cs="Arial"/>
        </w:rPr>
        <w:t>0k</w:t>
      </w:r>
      <w:r w:rsidR="00E136DA" w:rsidRPr="00AF59F9">
        <w:rPr>
          <w:rFonts w:cs="Arial"/>
        </w:rPr>
        <w:t>.</w:t>
      </w:r>
      <w:r w:rsidR="00E136DA" w:rsidRPr="00E136DA">
        <w:rPr>
          <w:rFonts w:cs="Arial"/>
        </w:rPr>
        <w:t xml:space="preserve"> Of this,</w:t>
      </w:r>
      <w:r w:rsidR="00F16C1D" w:rsidRPr="00E136DA">
        <w:rPr>
          <w:rFonts w:cs="Arial"/>
        </w:rPr>
        <w:t xml:space="preserve"> £54k is due to an unused accrual and the remainder due to health checks activity lower than previously forecast due to activity stopping because of the Omicron </w:t>
      </w:r>
      <w:r w:rsidR="00E136DA" w:rsidRPr="00E136DA">
        <w:rPr>
          <w:rFonts w:cs="Arial"/>
        </w:rPr>
        <w:t>strain</w:t>
      </w:r>
      <w:r w:rsidR="00F16C1D" w:rsidRPr="00E136DA">
        <w:rPr>
          <w:rFonts w:cs="Arial"/>
        </w:rPr>
        <w:t xml:space="preserve"> and the need for GP to divert services towards vaccinations.</w:t>
      </w:r>
    </w:p>
    <w:p w14:paraId="0F1EA600" w14:textId="77777777" w:rsidR="00AF59F9" w:rsidRDefault="00AF59F9" w:rsidP="00AF59F9">
      <w:pPr>
        <w:pStyle w:val="ListParagraph"/>
        <w:ind w:left="1287"/>
        <w:jc w:val="both"/>
        <w:rPr>
          <w:rFonts w:cs="Arial"/>
          <w:b/>
          <w:bCs/>
        </w:rPr>
      </w:pPr>
    </w:p>
    <w:p w14:paraId="5FFE2D57" w14:textId="59578F3B" w:rsidR="003F2C5D" w:rsidRPr="00E136DA" w:rsidRDefault="008E20FC" w:rsidP="007A4D31">
      <w:pPr>
        <w:pStyle w:val="ListParagraph"/>
        <w:numPr>
          <w:ilvl w:val="0"/>
          <w:numId w:val="19"/>
        </w:numPr>
        <w:jc w:val="both"/>
        <w:rPr>
          <w:rFonts w:cs="Arial"/>
          <w:b/>
          <w:bCs/>
        </w:rPr>
      </w:pPr>
      <w:r w:rsidRPr="00AF59F9">
        <w:rPr>
          <w:rFonts w:cs="Arial"/>
          <w:b/>
          <w:bCs/>
        </w:rPr>
        <w:t>Staffing</w:t>
      </w:r>
      <w:r w:rsidRPr="00E136DA">
        <w:rPr>
          <w:rFonts w:cs="Arial"/>
        </w:rPr>
        <w:t xml:space="preserve"> </w:t>
      </w:r>
      <w:r w:rsidRPr="00AF59F9">
        <w:rPr>
          <w:rFonts w:cs="Arial"/>
        </w:rPr>
        <w:t xml:space="preserve">– </w:t>
      </w:r>
      <w:r w:rsidR="00E136DA" w:rsidRPr="00AF59F9">
        <w:rPr>
          <w:rFonts w:cs="Arial"/>
        </w:rPr>
        <w:t>net</w:t>
      </w:r>
      <w:r w:rsidRPr="00AF59F9">
        <w:rPr>
          <w:rFonts w:cs="Arial"/>
        </w:rPr>
        <w:t xml:space="preserve"> underspend £</w:t>
      </w:r>
      <w:r w:rsidR="00F16C1D" w:rsidRPr="00AF59F9">
        <w:rPr>
          <w:rFonts w:cs="Arial"/>
        </w:rPr>
        <w:t>68k</w:t>
      </w:r>
      <w:r w:rsidR="00F16C1D" w:rsidRPr="00E136DA">
        <w:rPr>
          <w:rFonts w:cs="Arial"/>
        </w:rPr>
        <w:t xml:space="preserve"> which reflects a delay in recruitment for vacant posts.</w:t>
      </w:r>
    </w:p>
    <w:p w14:paraId="2AB8B952" w14:textId="77777777" w:rsidR="00AF59F9" w:rsidRDefault="00AF59F9" w:rsidP="00AF59F9">
      <w:pPr>
        <w:pStyle w:val="ListParagraph"/>
        <w:ind w:left="1287"/>
        <w:jc w:val="both"/>
        <w:rPr>
          <w:rFonts w:cs="Arial"/>
          <w:b/>
          <w:bCs/>
        </w:rPr>
      </w:pPr>
    </w:p>
    <w:p w14:paraId="7C00F924" w14:textId="25D30021" w:rsidR="00F16C1D" w:rsidRPr="00E136DA" w:rsidRDefault="00F16C1D" w:rsidP="00E136DA">
      <w:pPr>
        <w:pStyle w:val="ListParagraph"/>
        <w:numPr>
          <w:ilvl w:val="0"/>
          <w:numId w:val="19"/>
        </w:numPr>
        <w:jc w:val="both"/>
        <w:rPr>
          <w:rFonts w:cs="Arial"/>
          <w:b/>
          <w:bCs/>
        </w:rPr>
      </w:pPr>
      <w:r w:rsidRPr="00AF59F9">
        <w:rPr>
          <w:rFonts w:cs="Arial"/>
          <w:b/>
          <w:bCs/>
        </w:rPr>
        <w:t xml:space="preserve">Physical Activity </w:t>
      </w:r>
      <w:r w:rsidR="00E136DA" w:rsidRPr="00AF59F9">
        <w:rPr>
          <w:rFonts w:cs="Arial"/>
        </w:rPr>
        <w:t>–</w:t>
      </w:r>
      <w:r w:rsidRPr="00AF59F9">
        <w:rPr>
          <w:rFonts w:cs="Arial"/>
        </w:rPr>
        <w:t xml:space="preserve"> </w:t>
      </w:r>
      <w:r w:rsidR="00E136DA" w:rsidRPr="00AF59F9">
        <w:rPr>
          <w:rFonts w:cs="Arial"/>
        </w:rPr>
        <w:t>net underspend £15k.</w:t>
      </w:r>
      <w:r w:rsidR="00E136DA" w:rsidRPr="00E136DA">
        <w:rPr>
          <w:rFonts w:cs="Arial"/>
        </w:rPr>
        <w:t xml:space="preserve"> As a result of Covid-19 restrictions, planned activities were cancelled.</w:t>
      </w:r>
    </w:p>
    <w:p w14:paraId="20A3EF56" w14:textId="77777777" w:rsidR="00AF59F9" w:rsidRDefault="00AF59F9" w:rsidP="00AF59F9">
      <w:pPr>
        <w:pStyle w:val="ListParagraph"/>
        <w:ind w:left="1287"/>
        <w:jc w:val="both"/>
        <w:rPr>
          <w:rFonts w:cs="Arial"/>
          <w:b/>
          <w:bCs/>
        </w:rPr>
      </w:pPr>
    </w:p>
    <w:p w14:paraId="1F4CA455" w14:textId="0BAA55A2" w:rsidR="00E136DA" w:rsidRPr="00E136DA" w:rsidRDefault="00E136DA" w:rsidP="00E136DA">
      <w:pPr>
        <w:pStyle w:val="ListParagraph"/>
        <w:numPr>
          <w:ilvl w:val="0"/>
          <w:numId w:val="19"/>
        </w:numPr>
        <w:jc w:val="both"/>
        <w:rPr>
          <w:rFonts w:cs="Arial"/>
          <w:b/>
          <w:bCs/>
        </w:rPr>
      </w:pPr>
      <w:r w:rsidRPr="00AF59F9">
        <w:rPr>
          <w:rFonts w:cs="Arial"/>
          <w:b/>
          <w:bCs/>
        </w:rPr>
        <w:t xml:space="preserve">Drug &amp; Alcohol and Tobacco Control </w:t>
      </w:r>
      <w:r w:rsidRPr="00AF59F9">
        <w:rPr>
          <w:rFonts w:cs="Arial"/>
        </w:rPr>
        <w:t>– net underspend £61k</w:t>
      </w:r>
      <w:r w:rsidRPr="00E136DA">
        <w:rPr>
          <w:rFonts w:cs="Arial"/>
        </w:rPr>
        <w:t xml:space="preserve"> in relation to agenda for change budget allocated.</w:t>
      </w:r>
    </w:p>
    <w:p w14:paraId="038AD921" w14:textId="77777777" w:rsidR="00E136DA" w:rsidRPr="00E136DA" w:rsidRDefault="00E136DA" w:rsidP="00E136DA">
      <w:pPr>
        <w:jc w:val="both"/>
        <w:rPr>
          <w:rFonts w:cs="Arial"/>
          <w:b/>
          <w:bCs/>
        </w:rPr>
      </w:pPr>
    </w:p>
    <w:p w14:paraId="65A1242B" w14:textId="7228EF4B" w:rsidR="00E136DA" w:rsidRPr="00E136DA" w:rsidRDefault="00E136DA" w:rsidP="00E136DA">
      <w:pPr>
        <w:pStyle w:val="ListParagraph"/>
        <w:numPr>
          <w:ilvl w:val="0"/>
          <w:numId w:val="5"/>
        </w:numPr>
        <w:ind w:left="460" w:hanging="567"/>
        <w:jc w:val="both"/>
        <w:rPr>
          <w:rFonts w:cs="Arial"/>
          <w:b/>
          <w:bCs/>
        </w:rPr>
      </w:pPr>
      <w:r w:rsidRPr="00E136DA">
        <w:rPr>
          <w:rFonts w:eastAsia="Calibri" w:cs="Arial"/>
        </w:rPr>
        <w:t>These were partially offset by the following overspends:</w:t>
      </w:r>
    </w:p>
    <w:p w14:paraId="270AF79C" w14:textId="00B8668A" w:rsidR="00E136DA" w:rsidRPr="00E136DA" w:rsidRDefault="00E136DA" w:rsidP="00E136DA">
      <w:pPr>
        <w:jc w:val="both"/>
        <w:rPr>
          <w:rFonts w:cs="Arial"/>
          <w:b/>
          <w:bCs/>
        </w:rPr>
      </w:pPr>
    </w:p>
    <w:p w14:paraId="33F3472B" w14:textId="46E6D1A2" w:rsidR="00E136DA" w:rsidRPr="00AF59F9" w:rsidRDefault="00E136DA" w:rsidP="00E136DA">
      <w:pPr>
        <w:pStyle w:val="ListParagraph"/>
        <w:numPr>
          <w:ilvl w:val="0"/>
          <w:numId w:val="19"/>
        </w:numPr>
        <w:jc w:val="both"/>
        <w:rPr>
          <w:rFonts w:cs="Arial"/>
          <w:b/>
          <w:bCs/>
        </w:rPr>
      </w:pPr>
      <w:r w:rsidRPr="00AF59F9">
        <w:rPr>
          <w:rFonts w:cs="Arial"/>
          <w:b/>
          <w:bCs/>
        </w:rPr>
        <w:t xml:space="preserve">Wider Health Improvement </w:t>
      </w:r>
      <w:r w:rsidRPr="00AF59F9">
        <w:rPr>
          <w:rFonts w:cs="Arial"/>
        </w:rPr>
        <w:t xml:space="preserve">– net overspend £261k. This is made up of an underspend of £39k on in-year projects and a pressure related to ongoing projects originally anticipated to be funded by the PH reserve of £300k </w:t>
      </w:r>
    </w:p>
    <w:p w14:paraId="23CA7D55" w14:textId="77777777" w:rsidR="00E136DA" w:rsidRPr="00AF59F9" w:rsidRDefault="00E136DA" w:rsidP="00E136DA">
      <w:pPr>
        <w:pStyle w:val="ListParagraph"/>
        <w:ind w:left="1287"/>
        <w:jc w:val="both"/>
        <w:rPr>
          <w:rFonts w:cs="Arial"/>
          <w:b/>
          <w:bCs/>
        </w:rPr>
      </w:pPr>
    </w:p>
    <w:p w14:paraId="2F0006DF" w14:textId="49FCC811" w:rsidR="00E56F07" w:rsidRPr="00AF59F9" w:rsidRDefault="00E56F07" w:rsidP="001025AD">
      <w:pPr>
        <w:jc w:val="both"/>
        <w:rPr>
          <w:rFonts w:cs="Arial"/>
          <w:b/>
        </w:rPr>
      </w:pPr>
      <w:r w:rsidRPr="00AF59F9">
        <w:rPr>
          <w:rFonts w:cs="Arial"/>
          <w:b/>
        </w:rPr>
        <w:lastRenderedPageBreak/>
        <w:t>Children’s Services</w:t>
      </w:r>
    </w:p>
    <w:p w14:paraId="69980A39" w14:textId="2BE2A53E" w:rsidR="00CE59BC" w:rsidRPr="00B37833" w:rsidRDefault="00CE59BC" w:rsidP="00CE59BC">
      <w:pPr>
        <w:pStyle w:val="ListParagraph"/>
        <w:ind w:left="567"/>
        <w:jc w:val="both"/>
        <w:rPr>
          <w:rFonts w:cs="Arial"/>
          <w:color w:val="FF0000"/>
        </w:rPr>
      </w:pPr>
    </w:p>
    <w:p w14:paraId="1D3859D8" w14:textId="5C41AB72" w:rsidR="00EA30B3" w:rsidRPr="00B94016" w:rsidRDefault="00EA30B3" w:rsidP="007A4D31">
      <w:pPr>
        <w:pStyle w:val="ListParagraph"/>
        <w:numPr>
          <w:ilvl w:val="0"/>
          <w:numId w:val="5"/>
        </w:numPr>
        <w:ind w:left="460" w:hanging="567"/>
        <w:jc w:val="both"/>
        <w:rPr>
          <w:rFonts w:cs="Arial"/>
          <w:b/>
          <w:bCs/>
        </w:rPr>
      </w:pPr>
      <w:r w:rsidRPr="00B94016">
        <w:rPr>
          <w:rFonts w:eastAsia="Calibri" w:cs="Arial"/>
        </w:rPr>
        <w:t>The final</w:t>
      </w:r>
      <w:bookmarkEnd w:id="6"/>
      <w:r w:rsidR="00676BE8" w:rsidRPr="00B94016">
        <w:rPr>
          <w:rFonts w:cs="Arial"/>
        </w:rPr>
        <w:t xml:space="preserve"> outturn </w:t>
      </w:r>
      <w:r w:rsidR="00B94016" w:rsidRPr="00B94016">
        <w:rPr>
          <w:rFonts w:cs="Arial"/>
        </w:rPr>
        <w:t>is a net overspend of £758k. The headline pressure within the directorate is £4.274m with mitigating management actions of £3.516m. It should be noted that these management actions are one off and will not be available in future years.</w:t>
      </w:r>
    </w:p>
    <w:p w14:paraId="21A96E4E" w14:textId="77777777" w:rsidR="00EA30B3" w:rsidRPr="00B94016" w:rsidRDefault="00EA30B3" w:rsidP="00EA30B3">
      <w:pPr>
        <w:pStyle w:val="ListParagraph"/>
        <w:ind w:left="460"/>
        <w:jc w:val="both"/>
        <w:rPr>
          <w:rFonts w:cs="Arial"/>
          <w:b/>
          <w:bCs/>
        </w:rPr>
      </w:pPr>
    </w:p>
    <w:p w14:paraId="12DD122A" w14:textId="0CD0773C" w:rsidR="00EA30B3" w:rsidRPr="00B94016" w:rsidRDefault="00B94016" w:rsidP="007A4D31">
      <w:pPr>
        <w:pStyle w:val="ListParagraph"/>
        <w:numPr>
          <w:ilvl w:val="0"/>
          <w:numId w:val="5"/>
        </w:numPr>
        <w:ind w:left="460" w:hanging="567"/>
        <w:jc w:val="both"/>
        <w:rPr>
          <w:rFonts w:cs="Arial"/>
          <w:b/>
          <w:bCs/>
        </w:rPr>
      </w:pPr>
      <w:r w:rsidRPr="00B94016">
        <w:rPr>
          <w:rFonts w:cs="Arial"/>
        </w:rPr>
        <w:t>The main variances are summarised in the following paragraphs</w:t>
      </w:r>
      <w:r w:rsidR="00DC7888" w:rsidRPr="00B94016">
        <w:rPr>
          <w:rFonts w:cs="Arial"/>
        </w:rPr>
        <w:t xml:space="preserve">. </w:t>
      </w:r>
    </w:p>
    <w:p w14:paraId="460E7D92" w14:textId="77777777" w:rsidR="00EA30B3" w:rsidRPr="00B94016" w:rsidRDefault="00EA30B3" w:rsidP="00EA30B3">
      <w:pPr>
        <w:pStyle w:val="ListParagraph"/>
        <w:rPr>
          <w:rFonts w:cs="Arial"/>
          <w:b/>
        </w:rPr>
      </w:pPr>
    </w:p>
    <w:p w14:paraId="2B92B891" w14:textId="3604B958" w:rsidR="00951BDC" w:rsidRPr="00951BDC" w:rsidRDefault="00951BDC" w:rsidP="006C22B7">
      <w:pPr>
        <w:pStyle w:val="ListParagraph"/>
        <w:numPr>
          <w:ilvl w:val="0"/>
          <w:numId w:val="5"/>
        </w:numPr>
        <w:ind w:left="460" w:hanging="567"/>
        <w:jc w:val="both"/>
        <w:rPr>
          <w:rFonts w:cs="Arial"/>
          <w:b/>
          <w:bCs/>
        </w:rPr>
      </w:pPr>
      <w:r>
        <w:rPr>
          <w:rFonts w:cs="Arial"/>
          <w:b/>
          <w:bCs/>
        </w:rPr>
        <w:t xml:space="preserve">Children and Young People Services </w:t>
      </w:r>
    </w:p>
    <w:p w14:paraId="36BF6852" w14:textId="77777777" w:rsidR="00951BDC" w:rsidRPr="00951BDC" w:rsidRDefault="00951BDC" w:rsidP="00951BDC">
      <w:pPr>
        <w:pStyle w:val="ListParagraph"/>
        <w:rPr>
          <w:rFonts w:cs="Arial"/>
          <w:b/>
        </w:rPr>
      </w:pPr>
    </w:p>
    <w:p w14:paraId="5983262E" w14:textId="77777777" w:rsidR="00951BDC" w:rsidRPr="00951BDC" w:rsidRDefault="001B7238" w:rsidP="00951BDC">
      <w:pPr>
        <w:pStyle w:val="ListParagraph"/>
        <w:numPr>
          <w:ilvl w:val="1"/>
          <w:numId w:val="5"/>
        </w:numPr>
        <w:ind w:left="1276"/>
        <w:jc w:val="both"/>
        <w:rPr>
          <w:rFonts w:cs="Arial"/>
          <w:b/>
          <w:bCs/>
        </w:rPr>
      </w:pPr>
      <w:r w:rsidRPr="00AF59F9">
        <w:rPr>
          <w:rFonts w:cs="Arial"/>
          <w:b/>
        </w:rPr>
        <w:t>Children’s Placements &amp; Accommodation</w:t>
      </w:r>
      <w:r w:rsidR="00B94016" w:rsidRPr="00AF59F9">
        <w:rPr>
          <w:rFonts w:cs="Arial"/>
          <w:b/>
        </w:rPr>
        <w:t xml:space="preserve"> </w:t>
      </w:r>
      <w:r w:rsidR="00B94016" w:rsidRPr="00AF59F9">
        <w:rPr>
          <w:rFonts w:cs="Arial"/>
          <w:bCs/>
        </w:rPr>
        <w:t>- net</w:t>
      </w:r>
      <w:r w:rsidRPr="00AF59F9">
        <w:rPr>
          <w:rFonts w:cs="Arial"/>
          <w:bCs/>
        </w:rPr>
        <w:t xml:space="preserve"> overspend £</w:t>
      </w:r>
      <w:r w:rsidR="00B94016" w:rsidRPr="00AF59F9">
        <w:rPr>
          <w:rFonts w:cs="Arial"/>
          <w:bCs/>
        </w:rPr>
        <w:t>2.106</w:t>
      </w:r>
      <w:r w:rsidR="00AF59F9" w:rsidRPr="00AF59F9">
        <w:rPr>
          <w:rFonts w:cs="Arial"/>
          <w:bCs/>
        </w:rPr>
        <w:t xml:space="preserve">m. </w:t>
      </w:r>
      <w:r w:rsidR="00B94016" w:rsidRPr="00AF59F9">
        <w:rPr>
          <w:rFonts w:cs="Arial"/>
        </w:rPr>
        <w:t xml:space="preserve">In 2020-21 spend in these areas significantly increased compared with average spend in the previous two years. Largely this was attributed to Covid-19 however it is difficult to accurately work out exactly which costs are Covid-19 related and which are due to other demographic changes. </w:t>
      </w:r>
    </w:p>
    <w:p w14:paraId="55326743" w14:textId="77777777" w:rsidR="00951BDC" w:rsidRPr="00951BDC" w:rsidRDefault="00951BDC" w:rsidP="00951BDC">
      <w:pPr>
        <w:pStyle w:val="ListParagraph"/>
        <w:ind w:left="1276"/>
        <w:jc w:val="both"/>
        <w:rPr>
          <w:rFonts w:cs="Arial"/>
          <w:b/>
          <w:bCs/>
        </w:rPr>
      </w:pPr>
    </w:p>
    <w:p w14:paraId="627EAB38" w14:textId="77777777" w:rsidR="00951BDC" w:rsidRPr="00951BDC" w:rsidRDefault="00B94016" w:rsidP="00951BDC">
      <w:pPr>
        <w:pStyle w:val="ListParagraph"/>
        <w:numPr>
          <w:ilvl w:val="1"/>
          <w:numId w:val="5"/>
        </w:numPr>
        <w:ind w:left="1276"/>
        <w:jc w:val="both"/>
        <w:rPr>
          <w:rFonts w:cs="Arial"/>
          <w:b/>
          <w:bCs/>
        </w:rPr>
      </w:pPr>
      <w:r w:rsidRPr="00951BDC">
        <w:rPr>
          <w:rFonts w:cs="Arial"/>
        </w:rPr>
        <w:t>Throughout 2020-21 the number of Children Looked After peaked at 207 in August 2020 compared to previous averages of around 170. The number of CLA was down to 178 for August 2021, however, the number of young people currently accommodated have significant and complex needs which in some cases require expensive residential provision. The number of CLA has risen again and was 190 for March 2022 a 3% increase from March 2021.</w:t>
      </w:r>
    </w:p>
    <w:p w14:paraId="307B7AB5" w14:textId="77777777" w:rsidR="00951BDC" w:rsidRPr="00951BDC" w:rsidRDefault="00951BDC" w:rsidP="00951BDC">
      <w:pPr>
        <w:pStyle w:val="ListParagraph"/>
        <w:rPr>
          <w:rFonts w:cs="Arial"/>
        </w:rPr>
      </w:pPr>
    </w:p>
    <w:p w14:paraId="59579068" w14:textId="77777777" w:rsidR="00951BDC" w:rsidRPr="00951BDC" w:rsidRDefault="00B94016" w:rsidP="00951BDC">
      <w:pPr>
        <w:pStyle w:val="ListParagraph"/>
        <w:numPr>
          <w:ilvl w:val="1"/>
          <w:numId w:val="5"/>
        </w:numPr>
        <w:ind w:left="1276"/>
        <w:jc w:val="both"/>
        <w:rPr>
          <w:rFonts w:cs="Arial"/>
          <w:b/>
          <w:bCs/>
        </w:rPr>
      </w:pPr>
      <w:r w:rsidRPr="00951BDC">
        <w:rPr>
          <w:rFonts w:cs="Arial"/>
        </w:rPr>
        <w:t>There are also issues regarding placement sufficiency and despite a successful inhouse fostering recruitment campaign young people are still being placed out of borough for reasons of contextual safeguarding and not just placement sufficiency</w:t>
      </w:r>
      <w:r w:rsidRPr="00951BDC">
        <w:rPr>
          <w:rFonts w:cs="Arial"/>
          <w:color w:val="FF0000"/>
        </w:rPr>
        <w:t>.</w:t>
      </w:r>
    </w:p>
    <w:p w14:paraId="0F4BD607" w14:textId="77777777" w:rsidR="00951BDC" w:rsidRPr="00951BDC" w:rsidRDefault="00951BDC" w:rsidP="00951BDC">
      <w:pPr>
        <w:pStyle w:val="ListParagraph"/>
        <w:rPr>
          <w:rFonts w:cs="Arial"/>
          <w:b/>
        </w:rPr>
      </w:pPr>
    </w:p>
    <w:p w14:paraId="7F2CF97A" w14:textId="77777777" w:rsidR="007C00E4" w:rsidRPr="007C00E4" w:rsidRDefault="00DC7888" w:rsidP="007C00E4">
      <w:pPr>
        <w:pStyle w:val="ListParagraph"/>
        <w:numPr>
          <w:ilvl w:val="1"/>
          <w:numId w:val="5"/>
        </w:numPr>
        <w:ind w:left="1276"/>
        <w:jc w:val="both"/>
        <w:rPr>
          <w:rFonts w:cs="Arial"/>
          <w:b/>
          <w:bCs/>
        </w:rPr>
      </w:pPr>
      <w:r w:rsidRPr="00951BDC">
        <w:rPr>
          <w:rFonts w:cs="Arial"/>
          <w:b/>
        </w:rPr>
        <w:t>Frontline Teams Staffing &amp; Other Costs</w:t>
      </w:r>
      <w:r w:rsidR="00AF59F9" w:rsidRPr="00951BDC">
        <w:rPr>
          <w:rFonts w:cs="Arial"/>
          <w:b/>
        </w:rPr>
        <w:t xml:space="preserve"> </w:t>
      </w:r>
      <w:r w:rsidR="00AF59F9" w:rsidRPr="00951BDC">
        <w:rPr>
          <w:rFonts w:cs="Arial"/>
          <w:bCs/>
        </w:rPr>
        <w:t>– net</w:t>
      </w:r>
      <w:r w:rsidRPr="00951BDC">
        <w:rPr>
          <w:rFonts w:cs="Arial"/>
          <w:bCs/>
        </w:rPr>
        <w:t xml:space="preserve"> overspend </w:t>
      </w:r>
      <w:r w:rsidR="00B94016" w:rsidRPr="00951BDC">
        <w:rPr>
          <w:rFonts w:cs="Arial"/>
          <w:bCs/>
        </w:rPr>
        <w:t>£1.513m</w:t>
      </w:r>
      <w:r w:rsidR="00AF59F9" w:rsidRPr="00951BDC">
        <w:rPr>
          <w:rFonts w:cs="Arial"/>
          <w:b/>
        </w:rPr>
        <w:t>.</w:t>
      </w:r>
      <w:r w:rsidR="00AF59F9" w:rsidRPr="00951BDC">
        <w:rPr>
          <w:rFonts w:cs="Arial"/>
          <w:b/>
          <w:bCs/>
        </w:rPr>
        <w:t xml:space="preserve"> </w:t>
      </w:r>
      <w:r w:rsidRPr="00951BDC">
        <w:rPr>
          <w:rFonts w:cs="Arial"/>
        </w:rPr>
        <w:t xml:space="preserve">In order to manage caseloads agency staff are required to cover vacant Social Work posts, including sickness and maternity cover. There are around 20% of frontline posts which are covered by agency. </w:t>
      </w:r>
      <w:r w:rsidR="00B94016" w:rsidRPr="00951BDC">
        <w:rPr>
          <w:rFonts w:cs="Arial"/>
        </w:rPr>
        <w:t xml:space="preserve">There has also been the need for </w:t>
      </w:r>
      <w:r w:rsidR="00452CAC" w:rsidRPr="00951BDC">
        <w:rPr>
          <w:rFonts w:cs="Arial"/>
        </w:rPr>
        <w:t>super numerate</w:t>
      </w:r>
      <w:r w:rsidR="00B94016" w:rsidRPr="00951BDC">
        <w:rPr>
          <w:rFonts w:cs="Arial"/>
        </w:rPr>
        <w:t xml:space="preserve"> social work posts in Children in Need and the Front Door as there is an increase in the number of CIN Plans and the number of children on Child Protection Plans.</w:t>
      </w:r>
    </w:p>
    <w:p w14:paraId="7B6BB461" w14:textId="77777777" w:rsidR="007C00E4" w:rsidRPr="007C00E4" w:rsidRDefault="007C00E4" w:rsidP="007C00E4">
      <w:pPr>
        <w:pStyle w:val="ListParagraph"/>
        <w:rPr>
          <w:rFonts w:cs="Arial"/>
          <w:b/>
        </w:rPr>
      </w:pPr>
    </w:p>
    <w:p w14:paraId="64E4AB9C" w14:textId="4EAA209A" w:rsidR="007C00E4" w:rsidRPr="007C00E4" w:rsidRDefault="007C00E4" w:rsidP="007C00E4">
      <w:pPr>
        <w:pStyle w:val="ListParagraph"/>
        <w:numPr>
          <w:ilvl w:val="1"/>
          <w:numId w:val="5"/>
        </w:numPr>
        <w:ind w:left="1276"/>
        <w:jc w:val="both"/>
        <w:rPr>
          <w:rFonts w:cs="Arial"/>
          <w:b/>
          <w:bCs/>
        </w:rPr>
      </w:pPr>
      <w:r w:rsidRPr="007C00E4">
        <w:rPr>
          <w:rFonts w:cs="Arial"/>
          <w:b/>
        </w:rPr>
        <w:t xml:space="preserve">Client Spend &amp; Section 17 – </w:t>
      </w:r>
      <w:r w:rsidRPr="007C00E4">
        <w:rPr>
          <w:rFonts w:cs="Arial"/>
          <w:bCs/>
        </w:rPr>
        <w:t>net overspend £347k.</w:t>
      </w:r>
      <w:r w:rsidRPr="007C00E4">
        <w:rPr>
          <w:rFonts w:cs="Arial"/>
          <w:b/>
        </w:rPr>
        <w:t xml:space="preserve"> </w:t>
      </w:r>
      <w:r w:rsidRPr="007C00E4">
        <w:rPr>
          <w:rFonts w:cs="Arial"/>
        </w:rPr>
        <w:t>Expenditure to support families with children subject to a Child Protection or Children in Need plan, to help children remain at home where it is safe to do so. This budget also provides support for families with No Recourse to Public Funds until they can access benefits and expenditure to support young people Leaving Care.</w:t>
      </w:r>
    </w:p>
    <w:p w14:paraId="1D1B8E61" w14:textId="77777777" w:rsidR="00951BDC" w:rsidRPr="00951BDC" w:rsidRDefault="00951BDC" w:rsidP="00951BDC">
      <w:pPr>
        <w:pStyle w:val="ListParagraph"/>
        <w:rPr>
          <w:rFonts w:cs="Arial"/>
          <w:b/>
          <w:szCs w:val="24"/>
        </w:rPr>
      </w:pPr>
    </w:p>
    <w:p w14:paraId="03A417F5" w14:textId="77777777" w:rsidR="00951BDC" w:rsidRPr="00951BDC" w:rsidRDefault="00A6449E" w:rsidP="00951BDC">
      <w:pPr>
        <w:pStyle w:val="ListParagraph"/>
        <w:numPr>
          <w:ilvl w:val="1"/>
          <w:numId w:val="5"/>
        </w:numPr>
        <w:ind w:left="1276"/>
        <w:jc w:val="both"/>
        <w:rPr>
          <w:rFonts w:cs="Arial"/>
          <w:b/>
          <w:bCs/>
        </w:rPr>
      </w:pPr>
      <w:r w:rsidRPr="00951BDC">
        <w:rPr>
          <w:rFonts w:cs="Arial"/>
          <w:b/>
          <w:szCs w:val="24"/>
        </w:rPr>
        <w:t xml:space="preserve">Legal costs and other client related spend </w:t>
      </w:r>
      <w:r w:rsidR="00AF59F9" w:rsidRPr="00951BDC">
        <w:rPr>
          <w:rFonts w:cs="Arial"/>
          <w:bCs/>
          <w:szCs w:val="24"/>
        </w:rPr>
        <w:t xml:space="preserve">– net </w:t>
      </w:r>
      <w:r w:rsidRPr="00951BDC">
        <w:rPr>
          <w:rFonts w:cs="Arial"/>
          <w:bCs/>
          <w:szCs w:val="24"/>
        </w:rPr>
        <w:t>overspend £</w:t>
      </w:r>
      <w:r w:rsidR="00B94016" w:rsidRPr="00951BDC">
        <w:rPr>
          <w:rFonts w:cs="Arial"/>
          <w:bCs/>
          <w:szCs w:val="24"/>
        </w:rPr>
        <w:t>256</w:t>
      </w:r>
      <w:r w:rsidRPr="00951BDC">
        <w:rPr>
          <w:rFonts w:cs="Arial"/>
          <w:bCs/>
          <w:szCs w:val="24"/>
        </w:rPr>
        <w:t>k</w:t>
      </w:r>
      <w:r w:rsidR="00AF59F9" w:rsidRPr="00951BDC">
        <w:rPr>
          <w:rFonts w:cs="Arial"/>
          <w:bCs/>
          <w:szCs w:val="24"/>
        </w:rPr>
        <w:t>.</w:t>
      </w:r>
      <w:r w:rsidR="00AF59F9" w:rsidRPr="00951BDC">
        <w:rPr>
          <w:rFonts w:cs="Arial"/>
          <w:b/>
          <w:szCs w:val="24"/>
        </w:rPr>
        <w:t xml:space="preserve"> </w:t>
      </w:r>
      <w:r w:rsidRPr="00951BDC">
        <w:rPr>
          <w:rFonts w:cs="Arial"/>
          <w:szCs w:val="24"/>
        </w:rPr>
        <w:t>Mainly pressures in relation to translation services</w:t>
      </w:r>
      <w:r w:rsidR="00B94016" w:rsidRPr="00951BDC">
        <w:rPr>
          <w:rFonts w:cs="Arial"/>
          <w:szCs w:val="24"/>
        </w:rPr>
        <w:t xml:space="preserve"> £151k such as whole document </w:t>
      </w:r>
      <w:r w:rsidR="00452CAC" w:rsidRPr="00951BDC">
        <w:rPr>
          <w:rFonts w:cs="Arial"/>
          <w:szCs w:val="24"/>
        </w:rPr>
        <w:t>translation</w:t>
      </w:r>
      <w:r w:rsidR="00B94016" w:rsidRPr="00951BDC">
        <w:rPr>
          <w:rFonts w:cs="Arial"/>
          <w:szCs w:val="24"/>
        </w:rPr>
        <w:t xml:space="preserve"> of parenting assessments for individuals whose first language is not English as well as £105k overspend on l</w:t>
      </w:r>
      <w:r w:rsidRPr="00951BDC">
        <w:rPr>
          <w:rFonts w:cs="Arial"/>
          <w:szCs w:val="24"/>
        </w:rPr>
        <w:t xml:space="preserve">egal disbursement </w:t>
      </w:r>
      <w:r w:rsidRPr="00951BDC">
        <w:rPr>
          <w:rFonts w:cs="Arial"/>
          <w:szCs w:val="24"/>
        </w:rPr>
        <w:lastRenderedPageBreak/>
        <w:t xml:space="preserve">costs </w:t>
      </w:r>
      <w:r w:rsidR="00B94016" w:rsidRPr="00951BDC">
        <w:rPr>
          <w:rFonts w:cs="Arial"/>
          <w:szCs w:val="24"/>
        </w:rPr>
        <w:t xml:space="preserve">including barristers and independent </w:t>
      </w:r>
      <w:r w:rsidR="00452CAC" w:rsidRPr="00951BDC">
        <w:rPr>
          <w:rFonts w:cs="Arial"/>
          <w:szCs w:val="24"/>
        </w:rPr>
        <w:t>experts’</w:t>
      </w:r>
      <w:r w:rsidR="00B94016" w:rsidRPr="00951BDC">
        <w:rPr>
          <w:rFonts w:cs="Arial"/>
          <w:szCs w:val="24"/>
        </w:rPr>
        <w:t xml:space="preserve"> fees in relation to care proceedings.</w:t>
      </w:r>
    </w:p>
    <w:p w14:paraId="4937B25F" w14:textId="77777777" w:rsidR="00951BDC" w:rsidRPr="00951BDC" w:rsidRDefault="00951BDC" w:rsidP="00951BDC">
      <w:pPr>
        <w:pStyle w:val="ListParagraph"/>
        <w:rPr>
          <w:rFonts w:cs="Arial"/>
          <w:b/>
        </w:rPr>
      </w:pPr>
    </w:p>
    <w:p w14:paraId="4001FE14" w14:textId="77777777" w:rsidR="00951BDC" w:rsidRPr="00951BDC" w:rsidRDefault="00951BDC" w:rsidP="00951BDC">
      <w:pPr>
        <w:pStyle w:val="ListParagraph"/>
        <w:numPr>
          <w:ilvl w:val="1"/>
          <w:numId w:val="5"/>
        </w:numPr>
        <w:ind w:left="1276"/>
        <w:jc w:val="both"/>
        <w:rPr>
          <w:rFonts w:cs="Arial"/>
          <w:b/>
          <w:bCs/>
        </w:rPr>
      </w:pPr>
      <w:r w:rsidRPr="00951BDC">
        <w:rPr>
          <w:rFonts w:cs="Arial"/>
          <w:b/>
        </w:rPr>
        <w:t xml:space="preserve">Early Support Service </w:t>
      </w:r>
      <w:r w:rsidRPr="00951BDC">
        <w:rPr>
          <w:rFonts w:cs="Arial"/>
          <w:bCs/>
        </w:rPr>
        <w:t>– net underspend £49k</w:t>
      </w:r>
      <w:r w:rsidRPr="00951BDC">
        <w:rPr>
          <w:rFonts w:cs="Arial"/>
          <w:b/>
        </w:rPr>
        <w:t xml:space="preserve">. </w:t>
      </w:r>
      <w:r w:rsidRPr="00951BDC">
        <w:rPr>
          <w:rFonts w:cs="Arial"/>
          <w:bCs/>
        </w:rPr>
        <w:t>There is a £99k underspend on Early Support sites due to vacant posts</w:t>
      </w:r>
      <w:r w:rsidRPr="00951BDC">
        <w:rPr>
          <w:rFonts w:cs="Arial"/>
        </w:rPr>
        <w:t xml:space="preserve"> at Hillview and Cedars hubs </w:t>
      </w:r>
      <w:r w:rsidRPr="00951BDC">
        <w:rPr>
          <w:rFonts w:cs="Arial"/>
          <w:bCs/>
        </w:rPr>
        <w:t xml:space="preserve">as well as surplus income from PVI nurseries based at some sites. This is offset by a £50k overspend on the Youth Offending Team mainly due to maternity leave cover. </w:t>
      </w:r>
    </w:p>
    <w:p w14:paraId="277D1ECF" w14:textId="77777777" w:rsidR="00951BDC" w:rsidRPr="00951BDC" w:rsidRDefault="00951BDC" w:rsidP="00951BDC">
      <w:pPr>
        <w:pStyle w:val="ListParagraph"/>
        <w:rPr>
          <w:rFonts w:cs="Arial"/>
          <w:b/>
        </w:rPr>
      </w:pPr>
    </w:p>
    <w:p w14:paraId="42CB8FFE" w14:textId="0BB52967" w:rsidR="00951BDC" w:rsidRPr="00951BDC" w:rsidRDefault="00951BDC" w:rsidP="00951BDC">
      <w:pPr>
        <w:pStyle w:val="ListParagraph"/>
        <w:numPr>
          <w:ilvl w:val="1"/>
          <w:numId w:val="5"/>
        </w:numPr>
        <w:ind w:left="1276"/>
        <w:jc w:val="both"/>
        <w:rPr>
          <w:rFonts w:cs="Arial"/>
          <w:b/>
          <w:bCs/>
        </w:rPr>
      </w:pPr>
      <w:r w:rsidRPr="00951BDC">
        <w:rPr>
          <w:rFonts w:cs="Arial"/>
          <w:b/>
        </w:rPr>
        <w:t xml:space="preserve">Grant income </w:t>
      </w:r>
      <w:r w:rsidRPr="00951BDC">
        <w:rPr>
          <w:rFonts w:cs="Arial"/>
          <w:bCs/>
        </w:rPr>
        <w:t>- net underspend £183k</w:t>
      </w:r>
      <w:r w:rsidRPr="00951BDC">
        <w:rPr>
          <w:rFonts w:cs="Arial"/>
          <w:b/>
        </w:rPr>
        <w:t xml:space="preserve">. </w:t>
      </w:r>
      <w:r w:rsidRPr="00951BDC">
        <w:rPr>
          <w:rFonts w:cs="Arial"/>
        </w:rPr>
        <w:t>Additional grant income from the previous financial year which was not accrued for as final notification had not been received by year end.</w:t>
      </w:r>
    </w:p>
    <w:p w14:paraId="781336D3" w14:textId="77777777" w:rsidR="00951BDC" w:rsidRPr="00951BDC" w:rsidRDefault="00951BDC" w:rsidP="00951BDC">
      <w:pPr>
        <w:pStyle w:val="ListParagraph"/>
        <w:rPr>
          <w:rFonts w:cs="Arial"/>
          <w:b/>
        </w:rPr>
      </w:pPr>
    </w:p>
    <w:p w14:paraId="419E56BD" w14:textId="77777777" w:rsidR="00951BDC" w:rsidRPr="00951BDC" w:rsidRDefault="00B94016" w:rsidP="00951BDC">
      <w:pPr>
        <w:pStyle w:val="ListParagraph"/>
        <w:numPr>
          <w:ilvl w:val="1"/>
          <w:numId w:val="5"/>
        </w:numPr>
        <w:ind w:left="1276"/>
        <w:jc w:val="both"/>
        <w:rPr>
          <w:rFonts w:cs="Arial"/>
          <w:b/>
          <w:bCs/>
        </w:rPr>
      </w:pPr>
      <w:r w:rsidRPr="00951BDC">
        <w:rPr>
          <w:rFonts w:cs="Arial"/>
          <w:b/>
        </w:rPr>
        <w:t>Other CYPS</w:t>
      </w:r>
      <w:r w:rsidR="00AF59F9" w:rsidRPr="00951BDC">
        <w:rPr>
          <w:rFonts w:cs="Arial"/>
          <w:b/>
        </w:rPr>
        <w:t xml:space="preserve"> </w:t>
      </w:r>
      <w:r w:rsidR="00AF59F9" w:rsidRPr="00951BDC">
        <w:rPr>
          <w:rFonts w:cs="Arial"/>
          <w:bCs/>
        </w:rPr>
        <w:t>– net</w:t>
      </w:r>
      <w:r w:rsidRPr="00951BDC">
        <w:rPr>
          <w:rFonts w:cs="Arial"/>
          <w:bCs/>
        </w:rPr>
        <w:t xml:space="preserve"> overspend £41k</w:t>
      </w:r>
      <w:r w:rsidR="00AF59F9" w:rsidRPr="00951BDC">
        <w:rPr>
          <w:rFonts w:cs="Arial"/>
          <w:b/>
        </w:rPr>
        <w:t xml:space="preserve">. </w:t>
      </w:r>
      <w:r w:rsidRPr="00951BDC">
        <w:rPr>
          <w:rFonts w:cs="Arial"/>
        </w:rPr>
        <w:t>This mainly relates to an overspend on HSCB partly offset by an underspend on the Regional Adoption Agency budget for payment of adoption inter-agency fees.</w:t>
      </w:r>
    </w:p>
    <w:p w14:paraId="727269F9" w14:textId="77777777" w:rsidR="00951BDC" w:rsidRPr="00951BDC" w:rsidRDefault="00951BDC" w:rsidP="00951BDC">
      <w:pPr>
        <w:pStyle w:val="ListParagraph"/>
        <w:rPr>
          <w:rFonts w:cs="Arial"/>
          <w:b/>
        </w:rPr>
      </w:pPr>
    </w:p>
    <w:p w14:paraId="0DCD3735" w14:textId="42EEDC82" w:rsidR="00951BDC" w:rsidRPr="00951BDC" w:rsidRDefault="00951BDC" w:rsidP="00951BDC">
      <w:pPr>
        <w:pStyle w:val="ListParagraph"/>
        <w:numPr>
          <w:ilvl w:val="1"/>
          <w:numId w:val="5"/>
        </w:numPr>
        <w:ind w:left="1276"/>
        <w:jc w:val="both"/>
        <w:rPr>
          <w:rFonts w:cs="Arial"/>
          <w:b/>
          <w:bCs/>
        </w:rPr>
      </w:pPr>
      <w:r w:rsidRPr="00951BDC">
        <w:rPr>
          <w:rFonts w:cs="Arial"/>
          <w:b/>
        </w:rPr>
        <w:t>One off Management Actions</w:t>
      </w:r>
      <w:r w:rsidR="007C00E4">
        <w:rPr>
          <w:rFonts w:cs="Arial"/>
          <w:b/>
        </w:rPr>
        <w:t>/Income</w:t>
      </w:r>
      <w:r w:rsidRPr="00951BDC">
        <w:rPr>
          <w:rFonts w:cs="Arial"/>
          <w:b/>
        </w:rPr>
        <w:t xml:space="preserve"> </w:t>
      </w:r>
      <w:r w:rsidRPr="00951BDC">
        <w:rPr>
          <w:rFonts w:cs="Arial"/>
          <w:bCs/>
        </w:rPr>
        <w:t>– net underspend £</w:t>
      </w:r>
      <w:r w:rsidR="007C00E4">
        <w:rPr>
          <w:rFonts w:cs="Arial"/>
          <w:bCs/>
        </w:rPr>
        <w:t>574</w:t>
      </w:r>
      <w:r w:rsidRPr="00951BDC">
        <w:rPr>
          <w:rFonts w:cs="Arial"/>
          <w:bCs/>
        </w:rPr>
        <w:t>k</w:t>
      </w:r>
    </w:p>
    <w:p w14:paraId="14CBB1A4" w14:textId="77777777" w:rsidR="00951BDC" w:rsidRPr="00951BDC" w:rsidRDefault="00951BDC" w:rsidP="00951BDC">
      <w:pPr>
        <w:pStyle w:val="ListParagraph"/>
        <w:rPr>
          <w:rFonts w:cs="Arial"/>
          <w:b/>
        </w:rPr>
      </w:pPr>
    </w:p>
    <w:p w14:paraId="68401CF4" w14:textId="657327DD" w:rsidR="00951BDC" w:rsidRPr="00951BDC" w:rsidRDefault="00951BDC" w:rsidP="00951BDC">
      <w:pPr>
        <w:pStyle w:val="ListParagraph"/>
        <w:numPr>
          <w:ilvl w:val="1"/>
          <w:numId w:val="5"/>
        </w:numPr>
        <w:ind w:left="1276"/>
        <w:jc w:val="both"/>
        <w:rPr>
          <w:rFonts w:cs="Arial"/>
          <w:b/>
          <w:bCs/>
        </w:rPr>
      </w:pPr>
      <w:r w:rsidRPr="00951BDC">
        <w:rPr>
          <w:rFonts w:cs="Arial"/>
          <w:b/>
        </w:rPr>
        <w:t xml:space="preserve">Drawdown from Reserves for CYPS </w:t>
      </w:r>
      <w:r w:rsidRPr="00951BDC">
        <w:rPr>
          <w:rFonts w:cs="Arial"/>
          <w:bCs/>
        </w:rPr>
        <w:t>- £1.588m</w:t>
      </w:r>
    </w:p>
    <w:p w14:paraId="1B3D5DFD" w14:textId="77777777" w:rsidR="00951BDC" w:rsidRPr="00951BDC" w:rsidRDefault="00951BDC" w:rsidP="00951BDC">
      <w:pPr>
        <w:jc w:val="both"/>
        <w:rPr>
          <w:rFonts w:cs="Arial"/>
          <w:b/>
          <w:bCs/>
        </w:rPr>
      </w:pPr>
    </w:p>
    <w:p w14:paraId="731C182B" w14:textId="0A18DF53" w:rsidR="00951BDC" w:rsidRPr="00951BDC" w:rsidRDefault="00951BDC" w:rsidP="00951BDC">
      <w:pPr>
        <w:pStyle w:val="ListParagraph"/>
        <w:numPr>
          <w:ilvl w:val="0"/>
          <w:numId w:val="5"/>
        </w:numPr>
        <w:ind w:left="460" w:hanging="567"/>
        <w:jc w:val="both"/>
        <w:rPr>
          <w:rFonts w:cs="Arial"/>
          <w:b/>
          <w:bCs/>
        </w:rPr>
      </w:pPr>
      <w:r>
        <w:rPr>
          <w:rFonts w:cs="Arial"/>
          <w:b/>
          <w:bCs/>
        </w:rPr>
        <w:t>Education Services</w:t>
      </w:r>
    </w:p>
    <w:p w14:paraId="3C9D8AB6" w14:textId="77777777" w:rsidR="00951BDC" w:rsidRPr="00951BDC" w:rsidRDefault="00951BDC" w:rsidP="00951BDC">
      <w:pPr>
        <w:pStyle w:val="ListParagraph"/>
        <w:rPr>
          <w:rFonts w:cs="Arial"/>
          <w:b/>
        </w:rPr>
      </w:pPr>
    </w:p>
    <w:p w14:paraId="724009B0" w14:textId="77777777" w:rsidR="00951BDC" w:rsidRPr="00951BDC" w:rsidRDefault="00B94016" w:rsidP="00951BDC">
      <w:pPr>
        <w:pStyle w:val="ListParagraph"/>
        <w:numPr>
          <w:ilvl w:val="1"/>
          <w:numId w:val="5"/>
        </w:numPr>
        <w:ind w:left="1276" w:hanging="425"/>
        <w:jc w:val="both"/>
        <w:rPr>
          <w:rFonts w:cs="Arial"/>
          <w:b/>
          <w:bCs/>
        </w:rPr>
      </w:pPr>
      <w:r w:rsidRPr="00AF59F9">
        <w:rPr>
          <w:rFonts w:cs="Arial"/>
          <w:b/>
        </w:rPr>
        <w:t>Capital Programme</w:t>
      </w:r>
      <w:r w:rsidR="00AF59F9">
        <w:rPr>
          <w:rFonts w:cs="Arial"/>
          <w:b/>
        </w:rPr>
        <w:t xml:space="preserve"> </w:t>
      </w:r>
      <w:r w:rsidR="00AF59F9" w:rsidRPr="00AF59F9">
        <w:rPr>
          <w:rFonts w:cs="Arial"/>
          <w:bCs/>
        </w:rPr>
        <w:t>– net</w:t>
      </w:r>
      <w:r w:rsidRPr="00AF59F9">
        <w:rPr>
          <w:rFonts w:cs="Arial"/>
          <w:bCs/>
        </w:rPr>
        <w:t xml:space="preserve"> overspend £5k</w:t>
      </w:r>
      <w:r w:rsidR="00AF59F9" w:rsidRPr="00AF59F9">
        <w:rPr>
          <w:rFonts w:cs="Arial"/>
          <w:bCs/>
        </w:rPr>
        <w:t>.</w:t>
      </w:r>
      <w:r w:rsidR="00AF59F9" w:rsidRPr="00AF59F9">
        <w:rPr>
          <w:rFonts w:cs="Arial"/>
          <w:b/>
        </w:rPr>
        <w:t xml:space="preserve"> </w:t>
      </w:r>
      <w:r w:rsidR="00AF59F9" w:rsidRPr="00AF59F9">
        <w:rPr>
          <w:rFonts w:cs="Arial"/>
          <w:bCs/>
        </w:rPr>
        <w:t>E</w:t>
      </w:r>
      <w:r w:rsidRPr="00AF59F9">
        <w:rPr>
          <w:rFonts w:cs="Arial"/>
          <w:bCs/>
        </w:rPr>
        <w:t>xpen</w:t>
      </w:r>
      <w:r w:rsidRPr="00AF59F9">
        <w:rPr>
          <w:rFonts w:cs="Arial"/>
        </w:rPr>
        <w:t>diture on capital scheme feasibility studies for projects that are not yet live.</w:t>
      </w:r>
    </w:p>
    <w:p w14:paraId="036F3DB0" w14:textId="77777777" w:rsidR="00951BDC" w:rsidRPr="00951BDC" w:rsidRDefault="00951BDC" w:rsidP="00951BDC">
      <w:pPr>
        <w:pStyle w:val="ListParagraph"/>
        <w:ind w:left="1276"/>
        <w:jc w:val="both"/>
        <w:rPr>
          <w:rFonts w:cs="Arial"/>
          <w:b/>
          <w:bCs/>
        </w:rPr>
      </w:pPr>
    </w:p>
    <w:p w14:paraId="6AED3E09" w14:textId="77777777" w:rsidR="00951BDC" w:rsidRPr="00951BDC" w:rsidRDefault="00B94016" w:rsidP="00951BDC">
      <w:pPr>
        <w:pStyle w:val="ListParagraph"/>
        <w:numPr>
          <w:ilvl w:val="1"/>
          <w:numId w:val="5"/>
        </w:numPr>
        <w:ind w:left="1276" w:hanging="425"/>
        <w:jc w:val="both"/>
        <w:rPr>
          <w:rFonts w:cs="Arial"/>
          <w:b/>
          <w:bCs/>
        </w:rPr>
      </w:pPr>
      <w:r w:rsidRPr="00951BDC">
        <w:rPr>
          <w:rFonts w:cs="Arial"/>
          <w:b/>
        </w:rPr>
        <w:t xml:space="preserve">SEN Transport </w:t>
      </w:r>
      <w:r w:rsidR="00AF59F9" w:rsidRPr="00951BDC">
        <w:rPr>
          <w:rFonts w:cs="Arial"/>
          <w:bCs/>
        </w:rPr>
        <w:t>– net</w:t>
      </w:r>
      <w:r w:rsidRPr="00951BDC">
        <w:rPr>
          <w:rFonts w:cs="Arial"/>
          <w:bCs/>
        </w:rPr>
        <w:t xml:space="preserve"> underspend</w:t>
      </w:r>
      <w:r w:rsidR="00AF59F9" w:rsidRPr="00951BDC">
        <w:rPr>
          <w:rFonts w:cs="Arial"/>
          <w:bCs/>
        </w:rPr>
        <w:t xml:space="preserve"> £590k.</w:t>
      </w:r>
      <w:r w:rsidR="00AF59F9" w:rsidRPr="00951BDC">
        <w:rPr>
          <w:rFonts w:cs="Arial"/>
          <w:b/>
        </w:rPr>
        <w:t xml:space="preserve"> </w:t>
      </w:r>
      <w:r w:rsidRPr="00951BDC">
        <w:rPr>
          <w:rFonts w:cs="Arial"/>
        </w:rPr>
        <w:t>There is an underspend on SEN Transport as b</w:t>
      </w:r>
      <w:r w:rsidRPr="00951BDC">
        <w:rPr>
          <w:rFonts w:cs="Arial"/>
          <w:lang w:eastAsia="en-GB"/>
        </w:rPr>
        <w:t>udget growth was allocated mainly for spend on taxi journeys however not all of this has come to fruition. In addition, due to Covid-19 and other sickness, where a child does not attend school and the taxi company is notified within an agreed timescale, there is no charge for that day’s route.</w:t>
      </w:r>
    </w:p>
    <w:p w14:paraId="2A71CAF1" w14:textId="77777777" w:rsidR="00951BDC" w:rsidRPr="00951BDC" w:rsidRDefault="00951BDC" w:rsidP="00951BDC">
      <w:pPr>
        <w:pStyle w:val="ListParagraph"/>
        <w:rPr>
          <w:rFonts w:cs="Arial"/>
          <w:b/>
        </w:rPr>
      </w:pPr>
    </w:p>
    <w:p w14:paraId="4668C358" w14:textId="59655F36" w:rsidR="00951BDC" w:rsidRPr="00951BDC" w:rsidRDefault="00951BDC" w:rsidP="00951BDC">
      <w:pPr>
        <w:pStyle w:val="ListParagraph"/>
        <w:numPr>
          <w:ilvl w:val="1"/>
          <w:numId w:val="5"/>
        </w:numPr>
        <w:ind w:left="1276" w:hanging="425"/>
        <w:jc w:val="both"/>
        <w:rPr>
          <w:rFonts w:cs="Arial"/>
          <w:b/>
          <w:bCs/>
        </w:rPr>
      </w:pPr>
      <w:r w:rsidRPr="00951BDC">
        <w:rPr>
          <w:rFonts w:cs="Arial"/>
          <w:b/>
        </w:rPr>
        <w:t xml:space="preserve">Other Education Services </w:t>
      </w:r>
      <w:r w:rsidRPr="00951BDC">
        <w:rPr>
          <w:rFonts w:cs="Arial"/>
          <w:bCs/>
        </w:rPr>
        <w:t>– net underspend £</w:t>
      </w:r>
      <w:r w:rsidR="007C00E4">
        <w:rPr>
          <w:rFonts w:cs="Arial"/>
          <w:bCs/>
        </w:rPr>
        <w:t>454</w:t>
      </w:r>
      <w:r w:rsidRPr="00951BDC">
        <w:rPr>
          <w:rFonts w:cs="Arial"/>
          <w:bCs/>
        </w:rPr>
        <w:t>k</w:t>
      </w:r>
      <w:r w:rsidRPr="00951BDC">
        <w:rPr>
          <w:rFonts w:cs="Arial"/>
          <w:b/>
        </w:rPr>
        <w:t xml:space="preserve">. </w:t>
      </w:r>
      <w:r w:rsidRPr="00951BDC">
        <w:rPr>
          <w:rFonts w:cs="Arial"/>
        </w:rPr>
        <w:t>This is mainly due to underspends on Education staffing budgets due to vacancies as a result of recruitment difficulties in some service areas. This budget assumes £90k drawdown from reserve to support School Improvement.</w:t>
      </w:r>
    </w:p>
    <w:p w14:paraId="285FCFA7" w14:textId="77777777" w:rsidR="00951BDC" w:rsidRPr="00AF59F9" w:rsidRDefault="00951BDC" w:rsidP="00951BDC">
      <w:pPr>
        <w:pStyle w:val="ListParagraph"/>
        <w:rPr>
          <w:rFonts w:cs="Arial"/>
          <w:b/>
        </w:rPr>
      </w:pPr>
    </w:p>
    <w:p w14:paraId="7EAE0F02" w14:textId="10938298" w:rsidR="00951BDC" w:rsidRPr="00AF59F9" w:rsidRDefault="00951BDC" w:rsidP="00951BDC">
      <w:pPr>
        <w:pStyle w:val="ListParagraph"/>
        <w:numPr>
          <w:ilvl w:val="0"/>
          <w:numId w:val="5"/>
        </w:numPr>
        <w:ind w:left="460" w:hanging="567"/>
        <w:jc w:val="both"/>
        <w:rPr>
          <w:rFonts w:cs="Arial"/>
          <w:b/>
          <w:bCs/>
        </w:rPr>
      </w:pPr>
      <w:r w:rsidRPr="00AF59F9">
        <w:rPr>
          <w:rFonts w:cs="Arial"/>
          <w:b/>
        </w:rPr>
        <w:t>Commissioning &amp; People’s Management</w:t>
      </w:r>
      <w:r>
        <w:rPr>
          <w:rFonts w:cs="Arial"/>
          <w:b/>
        </w:rPr>
        <w:t xml:space="preserve"> </w:t>
      </w:r>
      <w:r w:rsidRPr="001C67AC">
        <w:rPr>
          <w:rFonts w:cs="Arial"/>
          <w:bCs/>
        </w:rPr>
        <w:t>– net</w:t>
      </w:r>
      <w:r w:rsidR="007C00E4">
        <w:rPr>
          <w:rFonts w:cs="Arial"/>
          <w:bCs/>
        </w:rPr>
        <w:t xml:space="preserve"> under</w:t>
      </w:r>
      <w:r w:rsidRPr="001C67AC">
        <w:rPr>
          <w:rFonts w:cs="Arial"/>
          <w:bCs/>
        </w:rPr>
        <w:t>spend £</w:t>
      </w:r>
      <w:r w:rsidR="007C00E4">
        <w:rPr>
          <w:rFonts w:cs="Arial"/>
          <w:bCs/>
        </w:rPr>
        <w:t>72</w:t>
      </w:r>
      <w:r w:rsidRPr="001C67AC">
        <w:rPr>
          <w:rFonts w:cs="Arial"/>
          <w:bCs/>
        </w:rPr>
        <w:t>.</w:t>
      </w:r>
      <w:r>
        <w:rPr>
          <w:rFonts w:cs="Arial"/>
          <w:b/>
        </w:rPr>
        <w:t xml:space="preserve"> </w:t>
      </w:r>
      <w:r w:rsidRPr="00AF59F9">
        <w:rPr>
          <w:rFonts w:cs="Arial"/>
        </w:rPr>
        <w:t>£27k overspend on Commissioning Team staffing offset by £</w:t>
      </w:r>
      <w:r w:rsidR="007C00E4">
        <w:rPr>
          <w:rFonts w:cs="Arial"/>
        </w:rPr>
        <w:t>99</w:t>
      </w:r>
      <w:r w:rsidRPr="00AF59F9">
        <w:rPr>
          <w:rFonts w:cs="Arial"/>
        </w:rPr>
        <w:t>k underspend on People’s Services Management</w:t>
      </w:r>
      <w:r w:rsidR="007C00E4">
        <w:rPr>
          <w:rFonts w:cs="Arial"/>
        </w:rPr>
        <w:t xml:space="preserve"> due to centrally held management actions</w:t>
      </w:r>
      <w:r w:rsidRPr="00AF59F9">
        <w:rPr>
          <w:rFonts w:cs="Arial"/>
        </w:rPr>
        <w:t>. This includes £50k drawdown from reserve to support Young Carers.</w:t>
      </w:r>
    </w:p>
    <w:p w14:paraId="509F0192" w14:textId="77777777" w:rsidR="00951BDC" w:rsidRPr="00951BDC" w:rsidRDefault="00951BDC" w:rsidP="00951BDC">
      <w:pPr>
        <w:suppressAutoHyphens/>
        <w:jc w:val="both"/>
        <w:rPr>
          <w:rFonts w:cs="Arial"/>
          <w:b/>
          <w:szCs w:val="24"/>
        </w:rPr>
      </w:pPr>
    </w:p>
    <w:p w14:paraId="1C565ACC" w14:textId="20B4FFC7" w:rsidR="00DC7888" w:rsidRPr="003639E3" w:rsidRDefault="00DC7888" w:rsidP="00AF59F9">
      <w:pPr>
        <w:suppressAutoHyphens/>
        <w:ind w:firstLine="460"/>
        <w:rPr>
          <w:rFonts w:cs="Arial"/>
          <w:b/>
          <w:szCs w:val="24"/>
        </w:rPr>
      </w:pPr>
      <w:r w:rsidRPr="003639E3">
        <w:rPr>
          <w:rFonts w:cs="Arial"/>
          <w:b/>
          <w:szCs w:val="24"/>
        </w:rPr>
        <w:t xml:space="preserve">Dedicated Schools Grant (DSG) </w:t>
      </w:r>
    </w:p>
    <w:p w14:paraId="3F7565C5" w14:textId="77777777" w:rsidR="00EA30B3" w:rsidRPr="003639E3" w:rsidRDefault="00EA30B3" w:rsidP="00EA30B3">
      <w:pPr>
        <w:pStyle w:val="ListParagraph"/>
        <w:rPr>
          <w:rFonts w:cs="Arial"/>
          <w:szCs w:val="24"/>
        </w:rPr>
      </w:pPr>
    </w:p>
    <w:p w14:paraId="596BC8E3" w14:textId="77777777" w:rsidR="003639E3" w:rsidRPr="003639E3" w:rsidRDefault="00EA30B3" w:rsidP="003639E3">
      <w:pPr>
        <w:pStyle w:val="ListParagraph"/>
        <w:numPr>
          <w:ilvl w:val="0"/>
          <w:numId w:val="5"/>
        </w:numPr>
        <w:ind w:left="460" w:hanging="567"/>
        <w:jc w:val="both"/>
        <w:rPr>
          <w:rFonts w:cs="Arial"/>
          <w:b/>
          <w:bCs/>
        </w:rPr>
      </w:pPr>
      <w:r w:rsidRPr="003639E3">
        <w:rPr>
          <w:rFonts w:cs="Arial"/>
          <w:szCs w:val="24"/>
        </w:rPr>
        <w:t>The Dedicated</w:t>
      </w:r>
      <w:r w:rsidR="00DC7888" w:rsidRPr="003639E3">
        <w:rPr>
          <w:rFonts w:cs="Arial"/>
          <w:szCs w:val="24"/>
        </w:rPr>
        <w:t xml:space="preserve"> Schools Grant (DSG) is a ring-fenced grant of which the majority is used to fund individual school budgets in maintained schools, </w:t>
      </w:r>
      <w:proofErr w:type="gramStart"/>
      <w:r w:rsidR="00DC7888" w:rsidRPr="003639E3">
        <w:rPr>
          <w:rFonts w:cs="Arial"/>
          <w:szCs w:val="24"/>
        </w:rPr>
        <w:t>academies</w:t>
      </w:r>
      <w:proofErr w:type="gramEnd"/>
      <w:r w:rsidR="00DC7888" w:rsidRPr="003639E3">
        <w:rPr>
          <w:rFonts w:cs="Arial"/>
          <w:szCs w:val="24"/>
        </w:rPr>
        <w:t xml:space="preserve"> and free schools in Harrow. It also funds Early Years nursery free entitlement places for </w:t>
      </w:r>
      <w:proofErr w:type="gramStart"/>
      <w:r w:rsidR="00DC7888" w:rsidRPr="003639E3">
        <w:rPr>
          <w:rFonts w:cs="Arial"/>
          <w:szCs w:val="24"/>
        </w:rPr>
        <w:t xml:space="preserve">2, 3 </w:t>
      </w:r>
      <w:r w:rsidR="00DC7888" w:rsidRPr="003639E3">
        <w:rPr>
          <w:rFonts w:cs="Arial"/>
          <w:szCs w:val="24"/>
        </w:rPr>
        <w:lastRenderedPageBreak/>
        <w:t>and 4 year olds</w:t>
      </w:r>
      <w:proofErr w:type="gramEnd"/>
      <w:r w:rsidR="00DC7888" w:rsidRPr="003639E3">
        <w:rPr>
          <w:rFonts w:cs="Arial"/>
          <w:szCs w:val="24"/>
        </w:rPr>
        <w:t xml:space="preserve">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w:t>
      </w:r>
      <w:r w:rsidR="003639E3" w:rsidRPr="003639E3">
        <w:rPr>
          <w:rFonts w:cs="Arial"/>
          <w:szCs w:val="24"/>
        </w:rPr>
        <w:t>ck</w:t>
      </w:r>
    </w:p>
    <w:p w14:paraId="7201BCFF" w14:textId="46C780A7" w:rsidR="003639E3" w:rsidRPr="003639E3" w:rsidRDefault="003639E3" w:rsidP="003639E3">
      <w:pPr>
        <w:pStyle w:val="ListParagraph"/>
        <w:ind w:left="460"/>
        <w:jc w:val="both"/>
        <w:rPr>
          <w:rFonts w:cs="Arial"/>
          <w:b/>
          <w:bCs/>
        </w:rPr>
      </w:pPr>
    </w:p>
    <w:p w14:paraId="4DFC6155" w14:textId="3FA9D7E0" w:rsidR="003639E3" w:rsidRPr="00C920C9" w:rsidRDefault="00C920C9" w:rsidP="00255B51">
      <w:pPr>
        <w:ind w:firstLine="460"/>
        <w:jc w:val="both"/>
        <w:rPr>
          <w:rFonts w:cs="Arial"/>
          <w:b/>
          <w:bCs/>
          <w:u w:val="single"/>
        </w:rPr>
      </w:pPr>
      <w:r w:rsidRPr="00C920C9">
        <w:rPr>
          <w:rFonts w:cs="Arial"/>
          <w:b/>
          <w:bCs/>
          <w:u w:val="single"/>
        </w:rPr>
        <w:t xml:space="preserve">Table 5: </w:t>
      </w:r>
      <w:r w:rsidR="003639E3" w:rsidRPr="00C920C9">
        <w:rPr>
          <w:rFonts w:cs="Arial"/>
          <w:b/>
          <w:bCs/>
          <w:u w:val="single"/>
        </w:rPr>
        <w:t>DSG Outturn 2021-22</w:t>
      </w:r>
    </w:p>
    <w:p w14:paraId="71CB7CFF" w14:textId="77777777" w:rsidR="00C920C9" w:rsidRPr="003639E3" w:rsidRDefault="00C920C9" w:rsidP="003639E3">
      <w:pPr>
        <w:pStyle w:val="ListParagraph"/>
        <w:ind w:left="460"/>
        <w:jc w:val="both"/>
        <w:rPr>
          <w:rFonts w:cs="Arial"/>
          <w:b/>
          <w:bCs/>
        </w:rPr>
      </w:pPr>
    </w:p>
    <w:tbl>
      <w:tblPr>
        <w:tblStyle w:val="TableGrid"/>
        <w:tblW w:w="0" w:type="auto"/>
        <w:tblInd w:w="421" w:type="dxa"/>
        <w:tblLook w:val="04A0" w:firstRow="1" w:lastRow="0" w:firstColumn="1" w:lastColumn="0" w:noHBand="0" w:noVBand="1"/>
      </w:tblPr>
      <w:tblGrid>
        <w:gridCol w:w="1833"/>
        <w:gridCol w:w="2254"/>
        <w:gridCol w:w="2254"/>
        <w:gridCol w:w="2254"/>
      </w:tblGrid>
      <w:tr w:rsidR="003639E3" w:rsidRPr="003639E3" w14:paraId="12F4446E" w14:textId="77777777" w:rsidTr="003639E3">
        <w:trPr>
          <w:trHeight w:hRule="exact" w:val="284"/>
        </w:trPr>
        <w:tc>
          <w:tcPr>
            <w:tcW w:w="1833" w:type="dxa"/>
          </w:tcPr>
          <w:p w14:paraId="0BA73C2B" w14:textId="77777777" w:rsidR="003639E3" w:rsidRPr="003639E3" w:rsidRDefault="003639E3" w:rsidP="0051774F">
            <w:pPr>
              <w:rPr>
                <w:rFonts w:cs="Arial"/>
                <w:b/>
                <w:bCs/>
                <w:sz w:val="20"/>
              </w:rPr>
            </w:pPr>
            <w:r w:rsidRPr="003639E3">
              <w:rPr>
                <w:rFonts w:cs="Arial"/>
                <w:b/>
                <w:bCs/>
                <w:sz w:val="20"/>
              </w:rPr>
              <w:t>Block</w:t>
            </w:r>
          </w:p>
        </w:tc>
        <w:tc>
          <w:tcPr>
            <w:tcW w:w="2254" w:type="dxa"/>
          </w:tcPr>
          <w:p w14:paraId="29BBEF60" w14:textId="77777777" w:rsidR="003639E3" w:rsidRPr="003639E3" w:rsidRDefault="003639E3" w:rsidP="0051774F">
            <w:pPr>
              <w:jc w:val="center"/>
              <w:rPr>
                <w:rFonts w:cs="Arial"/>
                <w:b/>
                <w:bCs/>
                <w:sz w:val="20"/>
              </w:rPr>
            </w:pPr>
            <w:r w:rsidRPr="003639E3">
              <w:rPr>
                <w:rFonts w:cs="Arial"/>
                <w:b/>
                <w:bCs/>
                <w:sz w:val="20"/>
              </w:rPr>
              <w:t>Budget £’000</w:t>
            </w:r>
          </w:p>
        </w:tc>
        <w:tc>
          <w:tcPr>
            <w:tcW w:w="2254" w:type="dxa"/>
          </w:tcPr>
          <w:p w14:paraId="29DB00BB" w14:textId="77777777" w:rsidR="003639E3" w:rsidRPr="003639E3" w:rsidRDefault="003639E3" w:rsidP="0051774F">
            <w:pPr>
              <w:jc w:val="center"/>
              <w:rPr>
                <w:rFonts w:cs="Arial"/>
                <w:b/>
                <w:bCs/>
                <w:sz w:val="20"/>
              </w:rPr>
            </w:pPr>
            <w:r w:rsidRPr="003639E3">
              <w:rPr>
                <w:rFonts w:cs="Arial"/>
                <w:b/>
                <w:bCs/>
                <w:sz w:val="20"/>
              </w:rPr>
              <w:t>Outturn £’000</w:t>
            </w:r>
          </w:p>
        </w:tc>
        <w:tc>
          <w:tcPr>
            <w:tcW w:w="2254" w:type="dxa"/>
          </w:tcPr>
          <w:p w14:paraId="51B7CB04" w14:textId="77777777" w:rsidR="003639E3" w:rsidRPr="003639E3" w:rsidRDefault="003639E3" w:rsidP="0051774F">
            <w:pPr>
              <w:jc w:val="center"/>
              <w:rPr>
                <w:rFonts w:cs="Arial"/>
                <w:b/>
                <w:bCs/>
                <w:sz w:val="20"/>
              </w:rPr>
            </w:pPr>
            <w:r w:rsidRPr="003639E3">
              <w:rPr>
                <w:rFonts w:cs="Arial"/>
                <w:b/>
                <w:bCs/>
                <w:sz w:val="20"/>
              </w:rPr>
              <w:t>Variance £’000</w:t>
            </w:r>
          </w:p>
        </w:tc>
      </w:tr>
      <w:tr w:rsidR="003639E3" w:rsidRPr="003639E3" w14:paraId="6902D7CB" w14:textId="77777777" w:rsidTr="003639E3">
        <w:trPr>
          <w:trHeight w:hRule="exact" w:val="284"/>
        </w:trPr>
        <w:tc>
          <w:tcPr>
            <w:tcW w:w="1833" w:type="dxa"/>
          </w:tcPr>
          <w:p w14:paraId="3FF1D99F" w14:textId="77777777" w:rsidR="003639E3" w:rsidRPr="003639E3" w:rsidRDefault="003639E3" w:rsidP="0051774F">
            <w:pPr>
              <w:rPr>
                <w:rFonts w:cs="Arial"/>
                <w:b/>
                <w:sz w:val="20"/>
              </w:rPr>
            </w:pPr>
            <w:r w:rsidRPr="003639E3">
              <w:rPr>
                <w:rFonts w:cs="Arial"/>
                <w:sz w:val="20"/>
              </w:rPr>
              <w:t>Central</w:t>
            </w:r>
          </w:p>
        </w:tc>
        <w:tc>
          <w:tcPr>
            <w:tcW w:w="2254" w:type="dxa"/>
          </w:tcPr>
          <w:p w14:paraId="3C36824D" w14:textId="77777777" w:rsidR="003639E3" w:rsidRPr="003639E3" w:rsidRDefault="003639E3" w:rsidP="0051774F">
            <w:pPr>
              <w:jc w:val="right"/>
              <w:rPr>
                <w:rFonts w:cs="Arial"/>
                <w:b/>
                <w:sz w:val="20"/>
              </w:rPr>
            </w:pPr>
            <w:r w:rsidRPr="003639E3">
              <w:rPr>
                <w:rFonts w:cs="Arial"/>
                <w:sz w:val="20"/>
              </w:rPr>
              <w:t>1,388</w:t>
            </w:r>
          </w:p>
        </w:tc>
        <w:tc>
          <w:tcPr>
            <w:tcW w:w="2254" w:type="dxa"/>
          </w:tcPr>
          <w:p w14:paraId="1231A023" w14:textId="77777777" w:rsidR="003639E3" w:rsidRPr="003639E3" w:rsidRDefault="003639E3" w:rsidP="0051774F">
            <w:pPr>
              <w:jc w:val="right"/>
              <w:rPr>
                <w:rFonts w:cs="Arial"/>
                <w:b/>
                <w:sz w:val="20"/>
              </w:rPr>
            </w:pPr>
            <w:r w:rsidRPr="003639E3">
              <w:rPr>
                <w:rFonts w:cs="Arial"/>
                <w:sz w:val="20"/>
              </w:rPr>
              <w:t>1,385</w:t>
            </w:r>
          </w:p>
        </w:tc>
        <w:tc>
          <w:tcPr>
            <w:tcW w:w="2254" w:type="dxa"/>
          </w:tcPr>
          <w:p w14:paraId="14D9223A" w14:textId="77777777" w:rsidR="003639E3" w:rsidRPr="001C67AC" w:rsidRDefault="003639E3" w:rsidP="0051774F">
            <w:pPr>
              <w:jc w:val="right"/>
              <w:rPr>
                <w:rFonts w:cs="Arial"/>
                <w:b/>
                <w:sz w:val="20"/>
              </w:rPr>
            </w:pPr>
            <w:r w:rsidRPr="001C67AC">
              <w:rPr>
                <w:rFonts w:cs="Arial"/>
                <w:sz w:val="20"/>
              </w:rPr>
              <w:t>-2</w:t>
            </w:r>
          </w:p>
        </w:tc>
      </w:tr>
      <w:tr w:rsidR="003639E3" w:rsidRPr="003639E3" w14:paraId="769B4015" w14:textId="77777777" w:rsidTr="003639E3">
        <w:trPr>
          <w:trHeight w:hRule="exact" w:val="284"/>
        </w:trPr>
        <w:tc>
          <w:tcPr>
            <w:tcW w:w="1833" w:type="dxa"/>
          </w:tcPr>
          <w:p w14:paraId="2D1D86F3" w14:textId="77777777" w:rsidR="003639E3" w:rsidRPr="003639E3" w:rsidRDefault="003639E3" w:rsidP="0051774F">
            <w:pPr>
              <w:rPr>
                <w:rFonts w:cs="Arial"/>
                <w:b/>
                <w:sz w:val="20"/>
              </w:rPr>
            </w:pPr>
            <w:r w:rsidRPr="003639E3">
              <w:rPr>
                <w:rFonts w:cs="Arial"/>
                <w:sz w:val="20"/>
              </w:rPr>
              <w:t>Early Years</w:t>
            </w:r>
          </w:p>
        </w:tc>
        <w:tc>
          <w:tcPr>
            <w:tcW w:w="2254" w:type="dxa"/>
          </w:tcPr>
          <w:p w14:paraId="60CEE9F3" w14:textId="77777777" w:rsidR="003639E3" w:rsidRPr="003639E3" w:rsidRDefault="003639E3" w:rsidP="0051774F">
            <w:pPr>
              <w:jc w:val="right"/>
              <w:rPr>
                <w:rFonts w:cs="Arial"/>
                <w:b/>
                <w:sz w:val="20"/>
              </w:rPr>
            </w:pPr>
            <w:r w:rsidRPr="003639E3">
              <w:rPr>
                <w:rFonts w:cs="Arial"/>
                <w:sz w:val="20"/>
              </w:rPr>
              <w:t>18,044</w:t>
            </w:r>
          </w:p>
        </w:tc>
        <w:tc>
          <w:tcPr>
            <w:tcW w:w="2254" w:type="dxa"/>
          </w:tcPr>
          <w:p w14:paraId="7CF1E8AA" w14:textId="77777777" w:rsidR="003639E3" w:rsidRPr="003639E3" w:rsidRDefault="003639E3" w:rsidP="0051774F">
            <w:pPr>
              <w:jc w:val="right"/>
              <w:rPr>
                <w:rFonts w:cs="Arial"/>
                <w:b/>
                <w:sz w:val="20"/>
              </w:rPr>
            </w:pPr>
            <w:r w:rsidRPr="003639E3">
              <w:rPr>
                <w:rFonts w:cs="Arial"/>
                <w:sz w:val="20"/>
              </w:rPr>
              <w:t>18,320</w:t>
            </w:r>
          </w:p>
        </w:tc>
        <w:tc>
          <w:tcPr>
            <w:tcW w:w="2254" w:type="dxa"/>
          </w:tcPr>
          <w:p w14:paraId="6777B658" w14:textId="77777777" w:rsidR="003639E3" w:rsidRPr="001C67AC" w:rsidRDefault="003639E3" w:rsidP="0051774F">
            <w:pPr>
              <w:jc w:val="right"/>
              <w:rPr>
                <w:rFonts w:cs="Arial"/>
                <w:b/>
                <w:sz w:val="20"/>
              </w:rPr>
            </w:pPr>
            <w:r w:rsidRPr="001C67AC">
              <w:rPr>
                <w:rFonts w:cs="Arial"/>
                <w:sz w:val="20"/>
              </w:rPr>
              <w:t>277</w:t>
            </w:r>
          </w:p>
        </w:tc>
      </w:tr>
      <w:tr w:rsidR="003639E3" w:rsidRPr="003639E3" w14:paraId="61F321BB" w14:textId="77777777" w:rsidTr="003639E3">
        <w:trPr>
          <w:trHeight w:hRule="exact" w:val="284"/>
        </w:trPr>
        <w:tc>
          <w:tcPr>
            <w:tcW w:w="1833" w:type="dxa"/>
          </w:tcPr>
          <w:p w14:paraId="3CF657F8" w14:textId="77777777" w:rsidR="003639E3" w:rsidRPr="003639E3" w:rsidRDefault="003639E3" w:rsidP="0051774F">
            <w:pPr>
              <w:rPr>
                <w:rFonts w:cs="Arial"/>
                <w:b/>
                <w:sz w:val="20"/>
              </w:rPr>
            </w:pPr>
            <w:r w:rsidRPr="003639E3">
              <w:rPr>
                <w:rFonts w:cs="Arial"/>
                <w:sz w:val="20"/>
              </w:rPr>
              <w:t>High Needs</w:t>
            </w:r>
          </w:p>
        </w:tc>
        <w:tc>
          <w:tcPr>
            <w:tcW w:w="2254" w:type="dxa"/>
          </w:tcPr>
          <w:p w14:paraId="5199A620" w14:textId="77777777" w:rsidR="003639E3" w:rsidRPr="003639E3" w:rsidRDefault="003639E3" w:rsidP="0051774F">
            <w:pPr>
              <w:jc w:val="right"/>
              <w:rPr>
                <w:rFonts w:cs="Arial"/>
                <w:b/>
                <w:sz w:val="20"/>
              </w:rPr>
            </w:pPr>
            <w:r w:rsidRPr="003639E3">
              <w:rPr>
                <w:rFonts w:cs="Arial"/>
                <w:sz w:val="20"/>
              </w:rPr>
              <w:t>37,020</w:t>
            </w:r>
          </w:p>
        </w:tc>
        <w:tc>
          <w:tcPr>
            <w:tcW w:w="2254" w:type="dxa"/>
          </w:tcPr>
          <w:p w14:paraId="0E86FC16" w14:textId="77777777" w:rsidR="003639E3" w:rsidRPr="003639E3" w:rsidRDefault="003639E3" w:rsidP="0051774F">
            <w:pPr>
              <w:jc w:val="right"/>
              <w:rPr>
                <w:rFonts w:cs="Arial"/>
                <w:b/>
                <w:sz w:val="20"/>
              </w:rPr>
            </w:pPr>
            <w:r w:rsidRPr="003639E3">
              <w:rPr>
                <w:rFonts w:cs="Arial"/>
                <w:sz w:val="20"/>
              </w:rPr>
              <w:t>37,297</w:t>
            </w:r>
          </w:p>
        </w:tc>
        <w:tc>
          <w:tcPr>
            <w:tcW w:w="2254" w:type="dxa"/>
          </w:tcPr>
          <w:p w14:paraId="6B817F07" w14:textId="77777777" w:rsidR="003639E3" w:rsidRPr="001C67AC" w:rsidRDefault="003639E3" w:rsidP="0051774F">
            <w:pPr>
              <w:jc w:val="right"/>
              <w:rPr>
                <w:rFonts w:cs="Arial"/>
                <w:b/>
                <w:sz w:val="20"/>
              </w:rPr>
            </w:pPr>
            <w:r w:rsidRPr="001C67AC">
              <w:rPr>
                <w:rFonts w:cs="Arial"/>
                <w:sz w:val="20"/>
              </w:rPr>
              <w:t>277</w:t>
            </w:r>
          </w:p>
        </w:tc>
      </w:tr>
      <w:tr w:rsidR="003639E3" w:rsidRPr="003639E3" w14:paraId="32AE8D53" w14:textId="77777777" w:rsidTr="003639E3">
        <w:trPr>
          <w:trHeight w:hRule="exact" w:val="284"/>
        </w:trPr>
        <w:tc>
          <w:tcPr>
            <w:tcW w:w="1833" w:type="dxa"/>
          </w:tcPr>
          <w:p w14:paraId="4761FC3E" w14:textId="77777777" w:rsidR="003639E3" w:rsidRPr="003639E3" w:rsidRDefault="003639E3" w:rsidP="0051774F">
            <w:pPr>
              <w:rPr>
                <w:rFonts w:cs="Arial"/>
                <w:b/>
                <w:sz w:val="20"/>
              </w:rPr>
            </w:pPr>
            <w:r w:rsidRPr="003639E3">
              <w:rPr>
                <w:rFonts w:cs="Arial"/>
                <w:sz w:val="20"/>
              </w:rPr>
              <w:t>Schools Growth</w:t>
            </w:r>
          </w:p>
        </w:tc>
        <w:tc>
          <w:tcPr>
            <w:tcW w:w="2254" w:type="dxa"/>
          </w:tcPr>
          <w:p w14:paraId="1516B34A" w14:textId="77777777" w:rsidR="003639E3" w:rsidRPr="003639E3" w:rsidRDefault="003639E3" w:rsidP="0051774F">
            <w:pPr>
              <w:jc w:val="right"/>
              <w:rPr>
                <w:rFonts w:cs="Arial"/>
                <w:b/>
                <w:sz w:val="20"/>
              </w:rPr>
            </w:pPr>
            <w:r w:rsidRPr="003639E3">
              <w:rPr>
                <w:rFonts w:cs="Arial"/>
                <w:sz w:val="20"/>
              </w:rPr>
              <w:t>1,479</w:t>
            </w:r>
          </w:p>
        </w:tc>
        <w:tc>
          <w:tcPr>
            <w:tcW w:w="2254" w:type="dxa"/>
          </w:tcPr>
          <w:p w14:paraId="22E8CC6A" w14:textId="77777777" w:rsidR="003639E3" w:rsidRPr="003639E3" w:rsidRDefault="003639E3" w:rsidP="0051774F">
            <w:pPr>
              <w:jc w:val="right"/>
              <w:rPr>
                <w:rFonts w:cs="Arial"/>
                <w:b/>
                <w:sz w:val="20"/>
              </w:rPr>
            </w:pPr>
            <w:r w:rsidRPr="003639E3">
              <w:rPr>
                <w:rFonts w:cs="Arial"/>
                <w:sz w:val="20"/>
              </w:rPr>
              <w:t>662</w:t>
            </w:r>
          </w:p>
        </w:tc>
        <w:tc>
          <w:tcPr>
            <w:tcW w:w="2254" w:type="dxa"/>
          </w:tcPr>
          <w:p w14:paraId="57F6D0A1" w14:textId="77777777" w:rsidR="003639E3" w:rsidRPr="001C67AC" w:rsidRDefault="003639E3" w:rsidP="0051774F">
            <w:pPr>
              <w:jc w:val="right"/>
              <w:rPr>
                <w:rFonts w:cs="Arial"/>
                <w:b/>
                <w:sz w:val="20"/>
              </w:rPr>
            </w:pPr>
            <w:r w:rsidRPr="001C67AC">
              <w:rPr>
                <w:rFonts w:cs="Arial"/>
                <w:sz w:val="20"/>
              </w:rPr>
              <w:t>-817</w:t>
            </w:r>
          </w:p>
        </w:tc>
      </w:tr>
      <w:tr w:rsidR="003639E3" w:rsidRPr="003639E3" w14:paraId="0DE092EC" w14:textId="77777777" w:rsidTr="003639E3">
        <w:trPr>
          <w:trHeight w:hRule="exact" w:val="284"/>
        </w:trPr>
        <w:tc>
          <w:tcPr>
            <w:tcW w:w="1833" w:type="dxa"/>
          </w:tcPr>
          <w:p w14:paraId="6D708503" w14:textId="77777777" w:rsidR="003639E3" w:rsidRPr="003639E3" w:rsidRDefault="003639E3" w:rsidP="0051774F">
            <w:pPr>
              <w:rPr>
                <w:rFonts w:cs="Arial"/>
                <w:b/>
                <w:sz w:val="20"/>
              </w:rPr>
            </w:pPr>
            <w:r w:rsidRPr="003639E3">
              <w:rPr>
                <w:rFonts w:cs="Arial"/>
                <w:sz w:val="20"/>
              </w:rPr>
              <w:t>Schools ISB</w:t>
            </w:r>
          </w:p>
        </w:tc>
        <w:tc>
          <w:tcPr>
            <w:tcW w:w="2254" w:type="dxa"/>
          </w:tcPr>
          <w:p w14:paraId="10ABB875" w14:textId="77777777" w:rsidR="003639E3" w:rsidRPr="003639E3" w:rsidRDefault="003639E3" w:rsidP="0051774F">
            <w:pPr>
              <w:jc w:val="right"/>
              <w:rPr>
                <w:rFonts w:cs="Arial"/>
                <w:b/>
                <w:sz w:val="20"/>
              </w:rPr>
            </w:pPr>
            <w:r w:rsidRPr="003639E3">
              <w:rPr>
                <w:rFonts w:cs="Arial"/>
                <w:sz w:val="20"/>
              </w:rPr>
              <w:t>80,103</w:t>
            </w:r>
          </w:p>
        </w:tc>
        <w:tc>
          <w:tcPr>
            <w:tcW w:w="2254" w:type="dxa"/>
          </w:tcPr>
          <w:p w14:paraId="26D0176E" w14:textId="77777777" w:rsidR="003639E3" w:rsidRPr="003639E3" w:rsidRDefault="003639E3" w:rsidP="0051774F">
            <w:pPr>
              <w:jc w:val="right"/>
              <w:rPr>
                <w:rFonts w:cs="Arial"/>
                <w:b/>
                <w:sz w:val="20"/>
              </w:rPr>
            </w:pPr>
            <w:r w:rsidRPr="003639E3">
              <w:rPr>
                <w:rFonts w:cs="Arial"/>
                <w:sz w:val="20"/>
              </w:rPr>
              <w:t>80,103</w:t>
            </w:r>
          </w:p>
        </w:tc>
        <w:tc>
          <w:tcPr>
            <w:tcW w:w="2254" w:type="dxa"/>
          </w:tcPr>
          <w:p w14:paraId="181F8FE9" w14:textId="77777777" w:rsidR="003639E3" w:rsidRPr="001C67AC" w:rsidRDefault="003639E3" w:rsidP="0051774F">
            <w:pPr>
              <w:jc w:val="right"/>
              <w:rPr>
                <w:rFonts w:cs="Arial"/>
                <w:b/>
                <w:sz w:val="20"/>
              </w:rPr>
            </w:pPr>
            <w:r w:rsidRPr="001C67AC">
              <w:rPr>
                <w:rFonts w:cs="Arial"/>
                <w:sz w:val="20"/>
              </w:rPr>
              <w:t>0</w:t>
            </w:r>
          </w:p>
        </w:tc>
      </w:tr>
      <w:tr w:rsidR="003639E3" w:rsidRPr="003639E3" w14:paraId="5AC3C259" w14:textId="77777777" w:rsidTr="003639E3">
        <w:trPr>
          <w:trHeight w:hRule="exact" w:val="284"/>
        </w:trPr>
        <w:tc>
          <w:tcPr>
            <w:tcW w:w="1833" w:type="dxa"/>
          </w:tcPr>
          <w:p w14:paraId="7B7120D4" w14:textId="77777777" w:rsidR="003639E3" w:rsidRPr="003639E3" w:rsidRDefault="003639E3" w:rsidP="0051774F">
            <w:pPr>
              <w:rPr>
                <w:rFonts w:cs="Arial"/>
                <w:b/>
                <w:bCs/>
                <w:sz w:val="20"/>
              </w:rPr>
            </w:pPr>
            <w:r w:rsidRPr="003639E3">
              <w:rPr>
                <w:rFonts w:cs="Arial"/>
                <w:b/>
                <w:bCs/>
                <w:sz w:val="20"/>
              </w:rPr>
              <w:t>Totals</w:t>
            </w:r>
          </w:p>
        </w:tc>
        <w:tc>
          <w:tcPr>
            <w:tcW w:w="2254" w:type="dxa"/>
          </w:tcPr>
          <w:p w14:paraId="3E054E97" w14:textId="77777777" w:rsidR="003639E3" w:rsidRPr="003639E3" w:rsidRDefault="003639E3" w:rsidP="0051774F">
            <w:pPr>
              <w:jc w:val="right"/>
              <w:rPr>
                <w:rFonts w:cs="Arial"/>
                <w:b/>
                <w:bCs/>
                <w:sz w:val="20"/>
              </w:rPr>
            </w:pPr>
            <w:r w:rsidRPr="003639E3">
              <w:rPr>
                <w:rFonts w:cs="Arial"/>
                <w:b/>
                <w:bCs/>
                <w:sz w:val="20"/>
              </w:rPr>
              <w:t>132,751</w:t>
            </w:r>
          </w:p>
        </w:tc>
        <w:tc>
          <w:tcPr>
            <w:tcW w:w="2254" w:type="dxa"/>
          </w:tcPr>
          <w:p w14:paraId="6CA4CE25" w14:textId="77777777" w:rsidR="003639E3" w:rsidRPr="003639E3" w:rsidRDefault="003639E3" w:rsidP="0051774F">
            <w:pPr>
              <w:jc w:val="right"/>
              <w:rPr>
                <w:rFonts w:cs="Arial"/>
                <w:b/>
                <w:bCs/>
                <w:sz w:val="20"/>
              </w:rPr>
            </w:pPr>
            <w:r w:rsidRPr="003639E3">
              <w:rPr>
                <w:rFonts w:cs="Arial"/>
                <w:b/>
                <w:bCs/>
                <w:sz w:val="20"/>
              </w:rPr>
              <w:t>132,487</w:t>
            </w:r>
          </w:p>
        </w:tc>
        <w:tc>
          <w:tcPr>
            <w:tcW w:w="2254" w:type="dxa"/>
          </w:tcPr>
          <w:p w14:paraId="098552BD" w14:textId="77777777" w:rsidR="003639E3" w:rsidRPr="001C67AC" w:rsidRDefault="003639E3" w:rsidP="0051774F">
            <w:pPr>
              <w:jc w:val="right"/>
              <w:rPr>
                <w:rFonts w:cs="Arial"/>
                <w:b/>
                <w:bCs/>
                <w:sz w:val="20"/>
              </w:rPr>
            </w:pPr>
            <w:r w:rsidRPr="001C67AC">
              <w:rPr>
                <w:rFonts w:cs="Arial"/>
                <w:b/>
                <w:bCs/>
                <w:sz w:val="20"/>
              </w:rPr>
              <w:t>-264</w:t>
            </w:r>
          </w:p>
        </w:tc>
      </w:tr>
      <w:tr w:rsidR="003639E3" w:rsidRPr="003639E3" w14:paraId="1D348461" w14:textId="77777777" w:rsidTr="003639E3">
        <w:trPr>
          <w:trHeight w:hRule="exact" w:val="284"/>
        </w:trPr>
        <w:tc>
          <w:tcPr>
            <w:tcW w:w="4087" w:type="dxa"/>
            <w:gridSpan w:val="2"/>
          </w:tcPr>
          <w:p w14:paraId="2303B82F" w14:textId="77777777" w:rsidR="003639E3" w:rsidRPr="003639E3" w:rsidRDefault="003639E3" w:rsidP="0051774F">
            <w:pPr>
              <w:rPr>
                <w:rFonts w:cs="Arial"/>
                <w:b/>
                <w:bCs/>
                <w:sz w:val="20"/>
              </w:rPr>
            </w:pPr>
            <w:r w:rsidRPr="003639E3">
              <w:rPr>
                <w:rFonts w:cs="Arial"/>
                <w:b/>
                <w:bCs/>
                <w:sz w:val="20"/>
              </w:rPr>
              <w:t>Less High Needs Block Deficit</w:t>
            </w:r>
          </w:p>
        </w:tc>
        <w:tc>
          <w:tcPr>
            <w:tcW w:w="2254" w:type="dxa"/>
          </w:tcPr>
          <w:p w14:paraId="60BDB378" w14:textId="77777777" w:rsidR="003639E3" w:rsidRPr="003639E3" w:rsidRDefault="003639E3" w:rsidP="0051774F">
            <w:pPr>
              <w:jc w:val="right"/>
              <w:rPr>
                <w:rFonts w:cs="Arial"/>
                <w:b/>
                <w:bCs/>
                <w:sz w:val="20"/>
              </w:rPr>
            </w:pPr>
          </w:p>
        </w:tc>
        <w:tc>
          <w:tcPr>
            <w:tcW w:w="2254" w:type="dxa"/>
          </w:tcPr>
          <w:p w14:paraId="689AFEF9" w14:textId="77777777" w:rsidR="003639E3" w:rsidRPr="001C67AC" w:rsidRDefault="003639E3" w:rsidP="0051774F">
            <w:pPr>
              <w:jc w:val="right"/>
              <w:rPr>
                <w:rFonts w:cs="Arial"/>
                <w:b/>
                <w:bCs/>
                <w:sz w:val="20"/>
              </w:rPr>
            </w:pPr>
            <w:r w:rsidRPr="001C67AC">
              <w:rPr>
                <w:rFonts w:cs="Arial"/>
                <w:b/>
                <w:bCs/>
                <w:sz w:val="20"/>
              </w:rPr>
              <w:t>-277</w:t>
            </w:r>
          </w:p>
        </w:tc>
      </w:tr>
      <w:tr w:rsidR="003639E3" w:rsidRPr="003639E3" w14:paraId="51341EA3" w14:textId="77777777" w:rsidTr="003639E3">
        <w:trPr>
          <w:trHeight w:hRule="exact" w:val="284"/>
        </w:trPr>
        <w:tc>
          <w:tcPr>
            <w:tcW w:w="4087" w:type="dxa"/>
            <w:gridSpan w:val="2"/>
          </w:tcPr>
          <w:p w14:paraId="02C742A0" w14:textId="77777777" w:rsidR="003639E3" w:rsidRPr="003639E3" w:rsidRDefault="003639E3" w:rsidP="0051774F">
            <w:pPr>
              <w:rPr>
                <w:rFonts w:cs="Arial"/>
                <w:b/>
                <w:bCs/>
                <w:sz w:val="20"/>
              </w:rPr>
            </w:pPr>
            <w:r w:rsidRPr="003639E3">
              <w:rPr>
                <w:rFonts w:cs="Arial"/>
                <w:b/>
                <w:bCs/>
                <w:sz w:val="20"/>
              </w:rPr>
              <w:t>Net DSG Underspend</w:t>
            </w:r>
          </w:p>
        </w:tc>
        <w:tc>
          <w:tcPr>
            <w:tcW w:w="2254" w:type="dxa"/>
          </w:tcPr>
          <w:p w14:paraId="3153AF3F" w14:textId="77777777" w:rsidR="003639E3" w:rsidRPr="003639E3" w:rsidRDefault="003639E3" w:rsidP="0051774F">
            <w:pPr>
              <w:jc w:val="right"/>
              <w:rPr>
                <w:rFonts w:cs="Arial"/>
                <w:b/>
                <w:bCs/>
                <w:sz w:val="20"/>
              </w:rPr>
            </w:pPr>
          </w:p>
        </w:tc>
        <w:tc>
          <w:tcPr>
            <w:tcW w:w="2254" w:type="dxa"/>
          </w:tcPr>
          <w:p w14:paraId="7276C36D" w14:textId="77777777" w:rsidR="003639E3" w:rsidRPr="001C67AC" w:rsidRDefault="003639E3" w:rsidP="0051774F">
            <w:pPr>
              <w:jc w:val="right"/>
              <w:rPr>
                <w:rFonts w:cs="Arial"/>
                <w:b/>
                <w:bCs/>
                <w:sz w:val="20"/>
              </w:rPr>
            </w:pPr>
            <w:r w:rsidRPr="001C67AC">
              <w:rPr>
                <w:rFonts w:cs="Arial"/>
                <w:b/>
                <w:bCs/>
                <w:sz w:val="20"/>
              </w:rPr>
              <w:t>-541</w:t>
            </w:r>
          </w:p>
        </w:tc>
      </w:tr>
    </w:tbl>
    <w:p w14:paraId="140E79DC" w14:textId="0A65978F" w:rsidR="003639E3" w:rsidRDefault="003639E3" w:rsidP="003639E3">
      <w:pPr>
        <w:pStyle w:val="ListParagraph"/>
        <w:ind w:left="460"/>
        <w:jc w:val="both"/>
        <w:rPr>
          <w:rFonts w:cs="Arial"/>
          <w:b/>
          <w:bCs/>
          <w:color w:val="FF0000"/>
        </w:rPr>
      </w:pPr>
    </w:p>
    <w:p w14:paraId="665E15BD" w14:textId="77777777" w:rsidR="003639E3" w:rsidRPr="003639E3" w:rsidRDefault="003639E3" w:rsidP="003639E3">
      <w:pPr>
        <w:pStyle w:val="ListParagraph"/>
        <w:ind w:left="460"/>
        <w:jc w:val="both"/>
        <w:rPr>
          <w:rFonts w:cs="Arial"/>
          <w:b/>
          <w:bCs/>
          <w:color w:val="FF0000"/>
        </w:rPr>
      </w:pPr>
    </w:p>
    <w:p w14:paraId="39F82004" w14:textId="029E467A" w:rsidR="003639E3" w:rsidRPr="003639E3" w:rsidRDefault="003639E3" w:rsidP="003639E3">
      <w:pPr>
        <w:pStyle w:val="ListParagraph"/>
        <w:numPr>
          <w:ilvl w:val="0"/>
          <w:numId w:val="5"/>
        </w:numPr>
        <w:ind w:left="460" w:hanging="567"/>
        <w:jc w:val="both"/>
        <w:rPr>
          <w:rFonts w:cs="Arial"/>
          <w:b/>
          <w:bCs/>
          <w:color w:val="FF0000"/>
        </w:rPr>
      </w:pPr>
      <w:r w:rsidRPr="003639E3">
        <w:rPr>
          <w:rFonts w:cs="Arial"/>
          <w:bCs/>
        </w:rPr>
        <w:t>The final outturn is a net underspend of £264k, however, the High Needs Block overspend</w:t>
      </w:r>
      <w:r>
        <w:rPr>
          <w:rFonts w:cs="Arial"/>
          <w:bCs/>
        </w:rPr>
        <w:t xml:space="preserve"> of £277k</w:t>
      </w:r>
      <w:r w:rsidRPr="003639E3">
        <w:rPr>
          <w:rFonts w:cs="Arial"/>
          <w:bCs/>
        </w:rPr>
        <w:t xml:space="preserve"> is ringfenced to the High Needs Block Deficit and therefore the net underspend is £541k. This will be transferred to the schools brought forward contingency which is managed by Schools Forum.</w:t>
      </w:r>
    </w:p>
    <w:p w14:paraId="13E1461B" w14:textId="77777777" w:rsidR="003639E3" w:rsidRPr="00622798" w:rsidRDefault="003639E3" w:rsidP="003639E3">
      <w:pPr>
        <w:jc w:val="both"/>
        <w:rPr>
          <w:rFonts w:cs="Arial"/>
          <w:b/>
          <w:bCs/>
        </w:rPr>
      </w:pPr>
    </w:p>
    <w:p w14:paraId="0C6E0EF7" w14:textId="24FB8DB3" w:rsidR="003639E3" w:rsidRPr="00622798" w:rsidRDefault="00622798" w:rsidP="007A4D31">
      <w:pPr>
        <w:pStyle w:val="ListParagraph"/>
        <w:numPr>
          <w:ilvl w:val="0"/>
          <w:numId w:val="5"/>
        </w:numPr>
        <w:ind w:left="460" w:hanging="567"/>
        <w:jc w:val="both"/>
        <w:rPr>
          <w:rFonts w:cs="Arial"/>
          <w:b/>
          <w:bCs/>
        </w:rPr>
      </w:pPr>
      <w:r w:rsidRPr="00622798">
        <w:rPr>
          <w:rFonts w:cs="Arial"/>
          <w:b/>
          <w:bCs/>
          <w:szCs w:val="24"/>
        </w:rPr>
        <w:t>Central Block</w:t>
      </w:r>
      <w:r w:rsidRPr="00622798">
        <w:rPr>
          <w:rFonts w:cs="Arial"/>
          <w:szCs w:val="24"/>
        </w:rPr>
        <w:t xml:space="preserve"> – net underspend £2k</w:t>
      </w:r>
      <w:r w:rsidR="003639E3" w:rsidRPr="00622798">
        <w:rPr>
          <w:rFonts w:cs="Arial"/>
          <w:szCs w:val="24"/>
        </w:rPr>
        <w:t xml:space="preserve">. </w:t>
      </w:r>
    </w:p>
    <w:p w14:paraId="15D1451B" w14:textId="77777777" w:rsidR="003639E3" w:rsidRPr="00622798" w:rsidRDefault="003639E3" w:rsidP="003639E3">
      <w:pPr>
        <w:pStyle w:val="ListParagraph"/>
        <w:ind w:left="460"/>
        <w:jc w:val="both"/>
        <w:rPr>
          <w:rFonts w:cs="Arial"/>
          <w:b/>
          <w:bCs/>
        </w:rPr>
      </w:pPr>
    </w:p>
    <w:p w14:paraId="3372D425" w14:textId="1689DA8E" w:rsidR="003639E3" w:rsidRPr="00622798" w:rsidRDefault="00622798" w:rsidP="007A4D31">
      <w:pPr>
        <w:pStyle w:val="ListParagraph"/>
        <w:numPr>
          <w:ilvl w:val="0"/>
          <w:numId w:val="5"/>
        </w:numPr>
        <w:ind w:left="460" w:hanging="567"/>
        <w:jc w:val="both"/>
        <w:rPr>
          <w:rFonts w:cs="Arial"/>
          <w:b/>
          <w:bCs/>
        </w:rPr>
      </w:pPr>
      <w:r w:rsidRPr="00622798">
        <w:rPr>
          <w:rFonts w:cs="Arial"/>
          <w:b/>
          <w:bCs/>
          <w:szCs w:val="24"/>
        </w:rPr>
        <w:t>Early Years Block</w:t>
      </w:r>
      <w:r w:rsidRPr="00622798">
        <w:rPr>
          <w:rFonts w:cs="Arial"/>
          <w:szCs w:val="24"/>
        </w:rPr>
        <w:t xml:space="preserve"> – net overspend £277k. This is because</w:t>
      </w:r>
      <w:r w:rsidR="003639E3" w:rsidRPr="00622798">
        <w:rPr>
          <w:rFonts w:cs="Arial"/>
          <w:szCs w:val="24"/>
        </w:rPr>
        <w:t xml:space="preserve"> funding for the year was based on the January 2021 Early Years Census which had a reduction in participation of children attending nurseries due to Covid-19.</w:t>
      </w:r>
    </w:p>
    <w:p w14:paraId="50F66878" w14:textId="77777777" w:rsidR="003639E3" w:rsidRPr="00622798" w:rsidRDefault="003639E3" w:rsidP="003639E3">
      <w:pPr>
        <w:pStyle w:val="ListParagraph"/>
        <w:ind w:left="460"/>
        <w:jc w:val="both"/>
        <w:rPr>
          <w:rFonts w:cs="Arial"/>
          <w:b/>
          <w:bCs/>
        </w:rPr>
      </w:pPr>
    </w:p>
    <w:p w14:paraId="1F8A21D7" w14:textId="646F3DB1" w:rsidR="003639E3" w:rsidRPr="00622798" w:rsidRDefault="00622798" w:rsidP="007A4D31">
      <w:pPr>
        <w:pStyle w:val="ListParagraph"/>
        <w:numPr>
          <w:ilvl w:val="0"/>
          <w:numId w:val="5"/>
        </w:numPr>
        <w:ind w:left="460" w:hanging="567"/>
        <w:jc w:val="both"/>
        <w:rPr>
          <w:rFonts w:cs="Arial"/>
          <w:b/>
          <w:bCs/>
        </w:rPr>
      </w:pPr>
      <w:r w:rsidRPr="00622798">
        <w:rPr>
          <w:rFonts w:cs="Arial"/>
          <w:b/>
          <w:bCs/>
          <w:szCs w:val="24"/>
        </w:rPr>
        <w:t>Schools Growth</w:t>
      </w:r>
      <w:r w:rsidRPr="00622798">
        <w:rPr>
          <w:rFonts w:cs="Arial"/>
          <w:szCs w:val="24"/>
        </w:rPr>
        <w:t xml:space="preserve"> – net underspend £817k. This is due to the fact that t</w:t>
      </w:r>
      <w:r w:rsidR="003639E3" w:rsidRPr="00622798">
        <w:rPr>
          <w:rFonts w:cs="Arial"/>
          <w:szCs w:val="24"/>
        </w:rPr>
        <w:t xml:space="preserve">here has not been a requirement for bulge or additional classes. This has been reported to Schools Forum throughout the year and is committed to the schools funding formula in 2022-23 and other projects. </w:t>
      </w:r>
    </w:p>
    <w:p w14:paraId="1140F912" w14:textId="77777777" w:rsidR="003639E3" w:rsidRPr="00622798" w:rsidRDefault="003639E3" w:rsidP="003639E3">
      <w:pPr>
        <w:pStyle w:val="ListParagraph"/>
        <w:rPr>
          <w:rFonts w:cs="Arial"/>
          <w:szCs w:val="24"/>
        </w:rPr>
      </w:pPr>
    </w:p>
    <w:p w14:paraId="0A00B2EB" w14:textId="77777777" w:rsidR="000C634B" w:rsidRPr="000C634B" w:rsidRDefault="00622798" w:rsidP="000C634B">
      <w:pPr>
        <w:pStyle w:val="ListParagraph"/>
        <w:numPr>
          <w:ilvl w:val="0"/>
          <w:numId w:val="5"/>
        </w:numPr>
        <w:ind w:left="460" w:hanging="567"/>
        <w:jc w:val="both"/>
        <w:rPr>
          <w:rFonts w:cs="Arial"/>
          <w:b/>
          <w:bCs/>
        </w:rPr>
      </w:pPr>
      <w:r w:rsidRPr="00622798">
        <w:rPr>
          <w:rFonts w:cs="Arial"/>
          <w:b/>
          <w:bCs/>
          <w:szCs w:val="24"/>
        </w:rPr>
        <w:t>High Needs Block</w:t>
      </w:r>
      <w:r w:rsidRPr="00622798">
        <w:rPr>
          <w:rFonts w:cs="Arial"/>
          <w:szCs w:val="24"/>
        </w:rPr>
        <w:t xml:space="preserve"> – net overspend £277k. </w:t>
      </w:r>
      <w:r w:rsidR="00167048" w:rsidRPr="00622798">
        <w:rPr>
          <w:rFonts w:cs="Arial"/>
          <w:szCs w:val="24"/>
        </w:rPr>
        <w:t xml:space="preserve">The final outturn on the High Needs Block is an overspend of </w:t>
      </w:r>
      <w:r w:rsidRPr="00622798">
        <w:rPr>
          <w:rFonts w:cs="Arial"/>
          <w:szCs w:val="24"/>
        </w:rPr>
        <w:t>£277k</w:t>
      </w:r>
      <w:r w:rsidR="00167048" w:rsidRPr="00622798">
        <w:rPr>
          <w:rFonts w:cs="Arial"/>
          <w:szCs w:val="24"/>
        </w:rPr>
        <w:t xml:space="preserve"> which added to </w:t>
      </w:r>
      <w:r w:rsidRPr="00622798">
        <w:rPr>
          <w:rFonts w:cs="Arial"/>
          <w:szCs w:val="24"/>
        </w:rPr>
        <w:t xml:space="preserve">cumulative deficit </w:t>
      </w:r>
      <w:r w:rsidR="00167048" w:rsidRPr="00622798">
        <w:rPr>
          <w:rFonts w:cs="Arial"/>
          <w:szCs w:val="24"/>
        </w:rPr>
        <w:t>brought forward from 2019-20</w:t>
      </w:r>
      <w:r w:rsidRPr="00622798">
        <w:rPr>
          <w:rFonts w:cs="Arial"/>
          <w:szCs w:val="24"/>
        </w:rPr>
        <w:t xml:space="preserve"> and 2020-21</w:t>
      </w:r>
      <w:r w:rsidR="00167048" w:rsidRPr="00622798">
        <w:rPr>
          <w:rFonts w:cs="Arial"/>
          <w:szCs w:val="24"/>
        </w:rPr>
        <w:t xml:space="preserve"> takes the total deficit at the end of March 202</w:t>
      </w:r>
      <w:r w:rsidRPr="00622798">
        <w:rPr>
          <w:rFonts w:cs="Arial"/>
          <w:szCs w:val="24"/>
        </w:rPr>
        <w:t>2</w:t>
      </w:r>
      <w:r w:rsidR="00167048" w:rsidRPr="00622798">
        <w:rPr>
          <w:rFonts w:cs="Arial"/>
          <w:szCs w:val="24"/>
        </w:rPr>
        <w:t xml:space="preserve"> to £</w:t>
      </w:r>
      <w:r w:rsidRPr="00622798">
        <w:rPr>
          <w:rFonts w:cs="Arial"/>
          <w:szCs w:val="24"/>
        </w:rPr>
        <w:t>4.007m</w:t>
      </w:r>
      <w:r w:rsidR="00167048" w:rsidRPr="00622798">
        <w:rPr>
          <w:rFonts w:cs="Arial"/>
          <w:szCs w:val="24"/>
        </w:rPr>
        <w:t>. Despite underspends on the other blocks this will not be netted off the HNB pressure as Schools Forum does not support this approach. Any deficits an authority may have on its DSG account is expected to be carried forward and does not require to be covered by the authority’s general reserves.</w:t>
      </w:r>
    </w:p>
    <w:p w14:paraId="57DCA2EF" w14:textId="77777777" w:rsidR="000C634B" w:rsidRPr="000C634B" w:rsidRDefault="000C634B" w:rsidP="000C634B">
      <w:pPr>
        <w:pStyle w:val="ListParagraph"/>
        <w:rPr>
          <w:rFonts w:cs="Arial"/>
        </w:rPr>
      </w:pPr>
    </w:p>
    <w:p w14:paraId="48B6D845" w14:textId="77777777" w:rsidR="000C634B" w:rsidRPr="000C634B" w:rsidRDefault="000C634B" w:rsidP="000C634B">
      <w:pPr>
        <w:pStyle w:val="ListParagraph"/>
        <w:numPr>
          <w:ilvl w:val="0"/>
          <w:numId w:val="5"/>
        </w:numPr>
        <w:ind w:left="460" w:hanging="567"/>
        <w:jc w:val="both"/>
        <w:rPr>
          <w:rFonts w:cs="Arial"/>
          <w:b/>
          <w:bCs/>
        </w:rPr>
      </w:pPr>
      <w:r w:rsidRPr="000C634B">
        <w:rPr>
          <w:rFonts w:cs="Arial"/>
        </w:rPr>
        <w:t>Any deficits an authority may have on its DSG account is expected to be carried forward and does not require to be covered by the authority’s general reserves. This is a temporary arrangement until 2022-23 beyond which LAs must demonstrate they have sufficient reserves to cover the deficits.</w:t>
      </w:r>
    </w:p>
    <w:p w14:paraId="2993AE74" w14:textId="77777777" w:rsidR="000C634B" w:rsidRPr="000C634B" w:rsidRDefault="000C634B" w:rsidP="000C634B">
      <w:pPr>
        <w:pStyle w:val="ListParagraph"/>
        <w:rPr>
          <w:rFonts w:cs="Arial"/>
        </w:rPr>
      </w:pPr>
    </w:p>
    <w:p w14:paraId="25CC69E7" w14:textId="77777777" w:rsidR="000C634B" w:rsidRPr="000C634B" w:rsidRDefault="000C634B" w:rsidP="000C634B">
      <w:pPr>
        <w:pStyle w:val="ListParagraph"/>
        <w:numPr>
          <w:ilvl w:val="0"/>
          <w:numId w:val="5"/>
        </w:numPr>
        <w:ind w:left="460" w:hanging="567"/>
        <w:jc w:val="both"/>
        <w:rPr>
          <w:rFonts w:cs="Arial"/>
          <w:b/>
          <w:bCs/>
        </w:rPr>
      </w:pPr>
      <w:r w:rsidRPr="000C634B">
        <w:rPr>
          <w:rFonts w:cs="Arial"/>
        </w:rPr>
        <w:lastRenderedPageBreak/>
        <w:t>With effect from 2019-20 the DfE has tightened up the rules under which local authorities have to explain their plans for bringing the DSG account back into balance.</w:t>
      </w:r>
    </w:p>
    <w:p w14:paraId="2E0789BA" w14:textId="77777777" w:rsidR="000C634B" w:rsidRPr="000C634B" w:rsidRDefault="000C634B" w:rsidP="000C634B">
      <w:pPr>
        <w:pStyle w:val="ListParagraph"/>
        <w:rPr>
          <w:rFonts w:cs="Arial"/>
        </w:rPr>
      </w:pPr>
    </w:p>
    <w:p w14:paraId="5BB9F8F9" w14:textId="77777777" w:rsidR="000C634B" w:rsidRPr="000C634B" w:rsidRDefault="000C634B" w:rsidP="000C634B">
      <w:pPr>
        <w:pStyle w:val="ListParagraph"/>
        <w:numPr>
          <w:ilvl w:val="0"/>
          <w:numId w:val="5"/>
        </w:numPr>
        <w:ind w:left="460" w:hanging="567"/>
        <w:jc w:val="both"/>
        <w:rPr>
          <w:rFonts w:cs="Arial"/>
          <w:b/>
          <w:bCs/>
        </w:rPr>
      </w:pPr>
      <w:r w:rsidRPr="000C634B">
        <w:rPr>
          <w:rFonts w:cs="Arial"/>
        </w:rPr>
        <w:t>The DfE will require a report from any LA that has a cumulative DSG deficit of more than 1% at the end of the financial year. The 1% calculation will be based on the latest published DSG allocations for 2021-22 compared with the deficit shown in the authority’s published draft accounts.</w:t>
      </w:r>
    </w:p>
    <w:p w14:paraId="089144EC" w14:textId="77777777" w:rsidR="000C634B" w:rsidRPr="000C634B" w:rsidRDefault="000C634B" w:rsidP="000C634B">
      <w:pPr>
        <w:pStyle w:val="ListParagraph"/>
        <w:rPr>
          <w:rFonts w:cs="Arial"/>
        </w:rPr>
      </w:pPr>
    </w:p>
    <w:p w14:paraId="53278D3B" w14:textId="77777777" w:rsidR="000C634B" w:rsidRPr="000C634B" w:rsidRDefault="000C634B" w:rsidP="000C634B">
      <w:pPr>
        <w:pStyle w:val="ListParagraph"/>
        <w:numPr>
          <w:ilvl w:val="0"/>
          <w:numId w:val="5"/>
        </w:numPr>
        <w:ind w:left="460" w:hanging="567"/>
        <w:jc w:val="both"/>
        <w:rPr>
          <w:rFonts w:cs="Arial"/>
          <w:b/>
          <w:bCs/>
        </w:rPr>
      </w:pPr>
      <w:r w:rsidRPr="000C634B">
        <w:rPr>
          <w:rFonts w:cs="Arial"/>
        </w:rPr>
        <w:t>The final deficit at the end of 2021-22 of £4.007m represents 1.67% of the overall DSG allocation (including academy funding). The recovery plan has been drafted however and discussed with Schools Forum. However, the following points should be noted.</w:t>
      </w:r>
    </w:p>
    <w:p w14:paraId="2F61F909" w14:textId="77777777" w:rsidR="000C634B" w:rsidRPr="000C634B" w:rsidRDefault="000C634B" w:rsidP="000C634B">
      <w:pPr>
        <w:pStyle w:val="ListParagraph"/>
        <w:rPr>
          <w:rFonts w:cs="Arial"/>
          <w:szCs w:val="24"/>
        </w:rPr>
      </w:pPr>
    </w:p>
    <w:p w14:paraId="2FAC998C" w14:textId="5D71005B" w:rsidR="000C634B" w:rsidRPr="000C634B" w:rsidRDefault="000C634B" w:rsidP="000C634B">
      <w:pPr>
        <w:pStyle w:val="ListParagraph"/>
        <w:numPr>
          <w:ilvl w:val="0"/>
          <w:numId w:val="5"/>
        </w:numPr>
        <w:ind w:left="460" w:hanging="567"/>
        <w:jc w:val="both"/>
        <w:rPr>
          <w:rFonts w:cs="Arial"/>
          <w:b/>
          <w:bCs/>
        </w:rPr>
      </w:pPr>
      <w:r w:rsidRPr="000C634B">
        <w:rPr>
          <w:rFonts w:cs="Arial"/>
          <w:szCs w:val="24"/>
        </w:rPr>
        <w:t>Despite the significant proposals and measures planned over the next ten years, this will not mitigate the deficit. This is due to the following contributory factors:</w:t>
      </w:r>
    </w:p>
    <w:p w14:paraId="0B8B66B4"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historical underfunding</w:t>
      </w:r>
    </w:p>
    <w:p w14:paraId="7DEFCEDE"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current budgets being based on historical budgets rather than historical spend</w:t>
      </w:r>
    </w:p>
    <w:p w14:paraId="73E025CA"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extension of age range to include 0-5 and post 19</w:t>
      </w:r>
    </w:p>
    <w:p w14:paraId="79169C0F"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current and projected formulaic funding which does not keep pace with demand</w:t>
      </w:r>
    </w:p>
    <w:p w14:paraId="736DD804"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significant historical and projected growth in number of EHCPs</w:t>
      </w:r>
    </w:p>
    <w:p w14:paraId="5805194C" w14:textId="77777777" w:rsidR="000C634B" w:rsidRPr="00A576F8" w:rsidRDefault="000C634B" w:rsidP="000C634B">
      <w:pPr>
        <w:pStyle w:val="ListParagraph"/>
        <w:numPr>
          <w:ilvl w:val="0"/>
          <w:numId w:val="37"/>
        </w:numPr>
        <w:spacing w:after="200" w:line="276" w:lineRule="auto"/>
        <w:ind w:left="1701" w:hanging="567"/>
        <w:contextualSpacing/>
        <w:rPr>
          <w:rFonts w:cs="Arial"/>
          <w:szCs w:val="24"/>
        </w:rPr>
      </w:pPr>
      <w:r w:rsidRPr="00A576F8">
        <w:rPr>
          <w:rFonts w:cs="Arial"/>
          <w:szCs w:val="24"/>
        </w:rPr>
        <w:t>continued growth in complexity of pupils’ needs</w:t>
      </w:r>
    </w:p>
    <w:p w14:paraId="56A85E96" w14:textId="77777777" w:rsidR="000C634B" w:rsidRPr="004B7EAA" w:rsidRDefault="000C634B" w:rsidP="000C634B">
      <w:pPr>
        <w:pStyle w:val="ListParagraph"/>
        <w:numPr>
          <w:ilvl w:val="0"/>
          <w:numId w:val="37"/>
        </w:numPr>
        <w:spacing w:after="200"/>
        <w:ind w:left="1701" w:hanging="567"/>
        <w:contextualSpacing/>
        <w:rPr>
          <w:rFonts w:cs="Arial"/>
          <w:i/>
        </w:rPr>
      </w:pPr>
      <w:r w:rsidRPr="00A576F8">
        <w:rPr>
          <w:rFonts w:cs="Arial"/>
          <w:szCs w:val="24"/>
        </w:rPr>
        <w:t>limitations about creating cost effective provision in borough due to capacity and site limitations</w:t>
      </w:r>
    </w:p>
    <w:p w14:paraId="39B29388" w14:textId="77777777" w:rsidR="00A1516C" w:rsidRPr="00B37833" w:rsidRDefault="00A1516C" w:rsidP="000D6CA4">
      <w:pPr>
        <w:ind w:firstLine="567"/>
        <w:jc w:val="both"/>
        <w:rPr>
          <w:rFonts w:cs="Arial"/>
          <w:b/>
          <w:bCs/>
          <w:color w:val="FF0000"/>
          <w:szCs w:val="24"/>
        </w:rPr>
      </w:pPr>
    </w:p>
    <w:p w14:paraId="15C97827" w14:textId="7B9A2FD1" w:rsidR="00672697" w:rsidRPr="00B37833" w:rsidRDefault="00672697" w:rsidP="000D6CA4">
      <w:pPr>
        <w:ind w:firstLine="567"/>
        <w:jc w:val="both"/>
        <w:rPr>
          <w:rFonts w:cs="Arial"/>
        </w:rPr>
      </w:pPr>
      <w:r w:rsidRPr="00B37833">
        <w:rPr>
          <w:rFonts w:cs="Arial"/>
          <w:b/>
          <w:bCs/>
          <w:szCs w:val="24"/>
        </w:rPr>
        <w:t xml:space="preserve">CORPORATE AND TECHNICAL </w:t>
      </w:r>
    </w:p>
    <w:p w14:paraId="3FA08C2B" w14:textId="77777777" w:rsidR="00EA30B3" w:rsidRPr="00411336" w:rsidRDefault="00EA30B3" w:rsidP="00EA30B3">
      <w:pPr>
        <w:pStyle w:val="ListParagraph"/>
        <w:rPr>
          <w:rFonts w:cs="Arial"/>
          <w:szCs w:val="24"/>
        </w:rPr>
      </w:pPr>
    </w:p>
    <w:p w14:paraId="4BAAF0E6" w14:textId="34E955E1" w:rsidR="00B37833" w:rsidRPr="00411336" w:rsidRDefault="00EA30B3" w:rsidP="007A4D31">
      <w:pPr>
        <w:pStyle w:val="ListParagraph"/>
        <w:numPr>
          <w:ilvl w:val="0"/>
          <w:numId w:val="5"/>
        </w:numPr>
        <w:ind w:left="460" w:hanging="567"/>
        <w:jc w:val="both"/>
        <w:rPr>
          <w:rFonts w:cs="Arial"/>
          <w:b/>
          <w:bCs/>
        </w:rPr>
      </w:pPr>
      <w:r w:rsidRPr="00411336">
        <w:rPr>
          <w:rFonts w:cs="Arial"/>
          <w:szCs w:val="24"/>
        </w:rPr>
        <w:t xml:space="preserve">The final </w:t>
      </w:r>
      <w:r w:rsidR="004D700A" w:rsidRPr="00411336">
        <w:rPr>
          <w:rFonts w:cs="Arial"/>
        </w:rPr>
        <w:t xml:space="preserve">outturn </w:t>
      </w:r>
      <w:r w:rsidR="00F6199F" w:rsidRPr="00411336">
        <w:rPr>
          <w:rFonts w:cs="Arial"/>
        </w:rPr>
        <w:t xml:space="preserve">for the </w:t>
      </w:r>
      <w:r w:rsidR="004325F9" w:rsidRPr="00411336">
        <w:rPr>
          <w:rFonts w:cs="Arial"/>
        </w:rPr>
        <w:t>corporate</w:t>
      </w:r>
      <w:r w:rsidR="00672697" w:rsidRPr="00411336">
        <w:rPr>
          <w:rFonts w:cs="Arial"/>
          <w:bCs/>
          <w:szCs w:val="24"/>
        </w:rPr>
        <w:t xml:space="preserve"> and technical budget is reporting an overall underspend </w:t>
      </w:r>
      <w:r w:rsidR="00C66DF0" w:rsidRPr="00411336">
        <w:rPr>
          <w:rFonts w:cs="Arial"/>
          <w:bCs/>
          <w:szCs w:val="24"/>
        </w:rPr>
        <w:t xml:space="preserve">on business as usual </w:t>
      </w:r>
      <w:r w:rsidR="00672697" w:rsidRPr="00411336">
        <w:rPr>
          <w:rFonts w:cs="Arial"/>
          <w:bCs/>
          <w:szCs w:val="24"/>
        </w:rPr>
        <w:t>of</w:t>
      </w:r>
      <w:r w:rsidR="002B36BB" w:rsidRPr="00411336">
        <w:rPr>
          <w:rFonts w:cs="Arial"/>
          <w:bCs/>
          <w:szCs w:val="24"/>
        </w:rPr>
        <w:t xml:space="preserve"> </w:t>
      </w:r>
      <w:r w:rsidR="00411336" w:rsidRPr="00411336">
        <w:rPr>
          <w:rFonts w:cs="Arial"/>
          <w:bCs/>
          <w:szCs w:val="24"/>
        </w:rPr>
        <w:t>£1.</w:t>
      </w:r>
      <w:r w:rsidR="004558FE">
        <w:rPr>
          <w:rFonts w:cs="Arial"/>
          <w:bCs/>
          <w:szCs w:val="24"/>
        </w:rPr>
        <w:t>119</w:t>
      </w:r>
      <w:r w:rsidR="00411336" w:rsidRPr="00411336">
        <w:rPr>
          <w:rFonts w:cs="Arial"/>
          <w:bCs/>
          <w:szCs w:val="24"/>
        </w:rPr>
        <w:t>m</w:t>
      </w:r>
      <w:r w:rsidR="00672697" w:rsidRPr="00411336">
        <w:rPr>
          <w:rFonts w:cs="Arial"/>
          <w:szCs w:val="24"/>
        </w:rPr>
        <w:t xml:space="preserve"> as detailed below</w:t>
      </w:r>
      <w:r w:rsidR="0043268A" w:rsidRPr="00411336">
        <w:rPr>
          <w:rFonts w:cs="Arial"/>
          <w:szCs w:val="24"/>
        </w:rPr>
        <w:t>.</w:t>
      </w:r>
      <w:r w:rsidRPr="00411336">
        <w:rPr>
          <w:rFonts w:cs="Arial"/>
          <w:szCs w:val="24"/>
        </w:rPr>
        <w:t xml:space="preserve"> </w:t>
      </w:r>
    </w:p>
    <w:p w14:paraId="2EC70535" w14:textId="77777777" w:rsidR="00B37833" w:rsidRPr="00411336" w:rsidRDefault="00B37833" w:rsidP="00B37833">
      <w:pPr>
        <w:pStyle w:val="ListParagraph"/>
        <w:ind w:left="460"/>
        <w:jc w:val="both"/>
        <w:rPr>
          <w:rFonts w:cs="Arial"/>
          <w:b/>
          <w:bCs/>
        </w:rPr>
      </w:pPr>
    </w:p>
    <w:p w14:paraId="046A0CF1" w14:textId="77E8886F" w:rsidR="00EA6BA3" w:rsidRPr="00411336" w:rsidRDefault="00EA6BA3" w:rsidP="00B37833">
      <w:pPr>
        <w:pStyle w:val="ListParagraph"/>
        <w:ind w:left="460"/>
        <w:jc w:val="both"/>
        <w:rPr>
          <w:rFonts w:cs="Arial"/>
          <w:b/>
          <w:bCs/>
        </w:rPr>
      </w:pPr>
      <w:r w:rsidRPr="00411336">
        <w:rPr>
          <w:rFonts w:cs="Arial"/>
          <w:b/>
          <w:bCs/>
        </w:rPr>
        <w:t>Corporate Items</w:t>
      </w:r>
    </w:p>
    <w:p w14:paraId="74309101" w14:textId="1AEBFBF2" w:rsidR="00CE59BC" w:rsidRPr="00411336" w:rsidRDefault="00CE59BC" w:rsidP="00CE59BC">
      <w:pPr>
        <w:pStyle w:val="ListParagraph"/>
        <w:ind w:left="567"/>
        <w:jc w:val="both"/>
        <w:rPr>
          <w:rFonts w:cs="Arial"/>
          <w:bCs/>
          <w:szCs w:val="24"/>
        </w:rPr>
      </w:pPr>
    </w:p>
    <w:p w14:paraId="64FED850" w14:textId="29F72D74" w:rsidR="00B37833" w:rsidRPr="004558FE" w:rsidRDefault="00EA30B3" w:rsidP="00EF36C7">
      <w:pPr>
        <w:pStyle w:val="ListParagraph"/>
        <w:numPr>
          <w:ilvl w:val="0"/>
          <w:numId w:val="5"/>
        </w:numPr>
        <w:ind w:left="460" w:hanging="567"/>
        <w:jc w:val="both"/>
        <w:rPr>
          <w:rFonts w:cs="Arial"/>
          <w:b/>
          <w:bCs/>
        </w:rPr>
      </w:pPr>
      <w:r w:rsidRPr="004558FE">
        <w:rPr>
          <w:rFonts w:cs="Arial"/>
          <w:szCs w:val="24"/>
        </w:rPr>
        <w:t>The final</w:t>
      </w:r>
      <w:r w:rsidR="00071D3E" w:rsidRPr="004558FE">
        <w:rPr>
          <w:rFonts w:cs="Arial"/>
          <w:szCs w:val="24"/>
        </w:rPr>
        <w:t xml:space="preserve"> </w:t>
      </w:r>
      <w:r w:rsidR="002B36BB" w:rsidRPr="004558FE">
        <w:rPr>
          <w:rFonts w:cs="Arial"/>
        </w:rPr>
        <w:t>outturn is a net un</w:t>
      </w:r>
      <w:r w:rsidR="00EA6BA3" w:rsidRPr="004558FE">
        <w:rPr>
          <w:rFonts w:cs="Arial"/>
          <w:bCs/>
          <w:szCs w:val="24"/>
        </w:rPr>
        <w:t>derspend of £</w:t>
      </w:r>
      <w:r w:rsidR="004558FE" w:rsidRPr="004558FE">
        <w:rPr>
          <w:rFonts w:cs="Arial"/>
          <w:bCs/>
          <w:szCs w:val="24"/>
        </w:rPr>
        <w:t xml:space="preserve">1.732m. The majority of this relates to a </w:t>
      </w:r>
      <w:r w:rsidR="004558FE" w:rsidRPr="004558FE">
        <w:rPr>
          <w:rFonts w:cs="Arial"/>
        </w:rPr>
        <w:t xml:space="preserve">central contingency of £1.248m which was not required and therefore there is an underspend against this budget. The remainder mainly relates to </w:t>
      </w:r>
      <w:r w:rsidR="002B36BB" w:rsidRPr="004558FE">
        <w:rPr>
          <w:rFonts w:cs="Arial"/>
          <w:bCs/>
          <w:szCs w:val="24"/>
        </w:rPr>
        <w:t>pension augmentation costs.</w:t>
      </w:r>
      <w:r w:rsidR="00071D3E" w:rsidRPr="004558FE">
        <w:rPr>
          <w:rFonts w:cs="Arial"/>
          <w:bCs/>
          <w:szCs w:val="24"/>
        </w:rPr>
        <w:t xml:space="preserve"> </w:t>
      </w:r>
    </w:p>
    <w:p w14:paraId="4E8E2BB3" w14:textId="77777777" w:rsidR="00605CEF" w:rsidRDefault="00605CEF" w:rsidP="004558FE">
      <w:pPr>
        <w:pStyle w:val="ListParagraph"/>
        <w:ind w:left="460"/>
        <w:jc w:val="both"/>
        <w:rPr>
          <w:rFonts w:cs="Arial"/>
          <w:b/>
          <w:bCs/>
        </w:rPr>
      </w:pPr>
    </w:p>
    <w:p w14:paraId="70E57943" w14:textId="3E4740CF" w:rsidR="004558FE" w:rsidRPr="00F90145" w:rsidRDefault="004558FE" w:rsidP="004558FE">
      <w:pPr>
        <w:pStyle w:val="ListParagraph"/>
        <w:ind w:left="460"/>
        <w:jc w:val="both"/>
        <w:rPr>
          <w:rFonts w:cs="Arial"/>
        </w:rPr>
      </w:pPr>
      <w:r w:rsidRPr="00F90145">
        <w:rPr>
          <w:rFonts w:cs="Arial"/>
          <w:b/>
          <w:bCs/>
        </w:rPr>
        <w:t xml:space="preserve">Technical </w:t>
      </w:r>
      <w:r>
        <w:rPr>
          <w:rFonts w:cs="Arial"/>
          <w:b/>
          <w:bCs/>
        </w:rPr>
        <w:t>Budgets</w:t>
      </w:r>
    </w:p>
    <w:p w14:paraId="2E69FB6C" w14:textId="77777777" w:rsidR="004558FE" w:rsidRPr="00F90145" w:rsidRDefault="004558FE" w:rsidP="004558FE">
      <w:pPr>
        <w:pStyle w:val="ListParagraph"/>
        <w:ind w:left="567"/>
        <w:jc w:val="both"/>
        <w:rPr>
          <w:rFonts w:cs="Arial"/>
        </w:rPr>
      </w:pPr>
    </w:p>
    <w:p w14:paraId="32DF3048" w14:textId="04B633B6" w:rsidR="004558FE" w:rsidRPr="00F90145" w:rsidRDefault="004558FE" w:rsidP="004558FE">
      <w:pPr>
        <w:pStyle w:val="ListParagraph"/>
        <w:numPr>
          <w:ilvl w:val="0"/>
          <w:numId w:val="5"/>
        </w:numPr>
        <w:ind w:left="460" w:hanging="567"/>
        <w:jc w:val="both"/>
        <w:rPr>
          <w:rFonts w:cs="Arial"/>
        </w:rPr>
      </w:pPr>
      <w:r w:rsidRPr="00F90145">
        <w:rPr>
          <w:rFonts w:cs="Arial"/>
        </w:rPr>
        <w:t>The final outturn on the technical and corporate adjustments is an overspend of £2.</w:t>
      </w:r>
      <w:r>
        <w:rPr>
          <w:rFonts w:cs="Arial"/>
        </w:rPr>
        <w:t>661</w:t>
      </w:r>
      <w:r w:rsidRPr="00F90145">
        <w:rPr>
          <w:rFonts w:cs="Arial"/>
        </w:rPr>
        <w:t xml:space="preserve">m as follows: </w:t>
      </w:r>
    </w:p>
    <w:p w14:paraId="374C1006" w14:textId="77777777" w:rsidR="004558FE" w:rsidRPr="00F90145" w:rsidRDefault="004558FE" w:rsidP="004558FE">
      <w:pPr>
        <w:pStyle w:val="ListParagraph"/>
        <w:ind w:left="709"/>
        <w:jc w:val="both"/>
        <w:rPr>
          <w:rFonts w:cs="Arial"/>
        </w:rPr>
      </w:pPr>
    </w:p>
    <w:p w14:paraId="7C0F9629" w14:textId="77777777" w:rsidR="004558FE" w:rsidRPr="00A1301D" w:rsidRDefault="004558FE" w:rsidP="004558FE">
      <w:pPr>
        <w:pStyle w:val="ListParagraph"/>
        <w:numPr>
          <w:ilvl w:val="0"/>
          <w:numId w:val="12"/>
        </w:numPr>
        <w:ind w:left="1418" w:hanging="284"/>
        <w:jc w:val="both"/>
        <w:rPr>
          <w:rFonts w:cs="Arial"/>
        </w:rPr>
      </w:pPr>
      <w:r w:rsidRPr="00F90145">
        <w:rPr>
          <w:rFonts w:cs="Arial"/>
        </w:rPr>
        <w:lastRenderedPageBreak/>
        <w:t>(£6.308m) underspend in capital financing costs and interest charges as a result of slippage in the Capital Programme.</w:t>
      </w:r>
      <w:r>
        <w:rPr>
          <w:rFonts w:cs="Arial"/>
        </w:rPr>
        <w:t xml:space="preserve"> £2m of capital financing savings are built into the 2022-23 budget. </w:t>
      </w:r>
    </w:p>
    <w:p w14:paraId="7D0096E1" w14:textId="77777777" w:rsidR="004558FE" w:rsidRPr="00F90145" w:rsidRDefault="004558FE" w:rsidP="004558FE">
      <w:pPr>
        <w:pStyle w:val="ListParagraph"/>
        <w:ind w:left="1418"/>
        <w:jc w:val="both"/>
        <w:rPr>
          <w:rFonts w:cs="Arial"/>
        </w:rPr>
      </w:pPr>
    </w:p>
    <w:p w14:paraId="1AA93CD6" w14:textId="77777777" w:rsidR="004558FE" w:rsidRPr="00F90145" w:rsidRDefault="004558FE" w:rsidP="004558FE">
      <w:pPr>
        <w:pStyle w:val="ListParagraph"/>
        <w:numPr>
          <w:ilvl w:val="0"/>
          <w:numId w:val="12"/>
        </w:numPr>
        <w:ind w:left="1418" w:hanging="284"/>
        <w:jc w:val="both"/>
        <w:rPr>
          <w:rFonts w:cs="Arial"/>
        </w:rPr>
      </w:pPr>
      <w:r w:rsidRPr="00F90145">
        <w:rPr>
          <w:rFonts w:cs="Arial"/>
        </w:rPr>
        <w:t>(£2.532m) additional grant and other income</w:t>
      </w:r>
    </w:p>
    <w:p w14:paraId="698FA466" w14:textId="77777777" w:rsidR="004558FE" w:rsidRPr="00F90145" w:rsidRDefault="004558FE" w:rsidP="004558FE">
      <w:pPr>
        <w:pStyle w:val="ListParagraph"/>
        <w:ind w:left="1418"/>
        <w:jc w:val="both"/>
        <w:rPr>
          <w:rFonts w:cs="Arial"/>
        </w:rPr>
      </w:pPr>
    </w:p>
    <w:p w14:paraId="46A2C1E8" w14:textId="5CEA7308" w:rsidR="004558FE" w:rsidRPr="00F90145" w:rsidRDefault="004558FE" w:rsidP="004558FE">
      <w:pPr>
        <w:pStyle w:val="ListParagraph"/>
        <w:numPr>
          <w:ilvl w:val="0"/>
          <w:numId w:val="12"/>
        </w:numPr>
        <w:ind w:left="1418" w:hanging="284"/>
        <w:jc w:val="both"/>
        <w:rPr>
          <w:rFonts w:cs="Arial"/>
        </w:rPr>
      </w:pPr>
      <w:r w:rsidRPr="00F90145">
        <w:rPr>
          <w:rFonts w:cs="Arial"/>
        </w:rPr>
        <w:t>£7.350</w:t>
      </w:r>
      <w:r>
        <w:rPr>
          <w:rFonts w:cs="Arial"/>
        </w:rPr>
        <w:t>m</w:t>
      </w:r>
      <w:r w:rsidRPr="00F90145">
        <w:rPr>
          <w:rFonts w:cs="Arial"/>
        </w:rPr>
        <w:t xml:space="preserve"> overspend as a result of not drawing down the Budget Planning and Business Risk Reserves originally budgeted and planned for draw down in 2020-21 and not utilising capital flexibilities.  </w:t>
      </w:r>
    </w:p>
    <w:p w14:paraId="6CF5CDDA" w14:textId="77777777" w:rsidR="004558FE" w:rsidRPr="00F90145" w:rsidRDefault="004558FE" w:rsidP="004558FE">
      <w:pPr>
        <w:pStyle w:val="ListParagraph"/>
        <w:rPr>
          <w:rFonts w:cs="Arial"/>
        </w:rPr>
      </w:pPr>
    </w:p>
    <w:p w14:paraId="2CE7059B" w14:textId="14E53E70" w:rsidR="004558FE" w:rsidRPr="00F90145" w:rsidRDefault="004558FE" w:rsidP="004558FE">
      <w:pPr>
        <w:pStyle w:val="ListParagraph"/>
        <w:numPr>
          <w:ilvl w:val="0"/>
          <w:numId w:val="12"/>
        </w:numPr>
        <w:ind w:left="1418" w:hanging="284"/>
        <w:jc w:val="both"/>
        <w:rPr>
          <w:rFonts w:cs="Arial"/>
        </w:rPr>
      </w:pPr>
      <w:r w:rsidRPr="00F90145">
        <w:rPr>
          <w:rFonts w:cs="Arial"/>
        </w:rPr>
        <w:t>£</w:t>
      </w:r>
      <w:r>
        <w:rPr>
          <w:rFonts w:cs="Arial"/>
        </w:rPr>
        <w:t>4.365m</w:t>
      </w:r>
      <w:r w:rsidRPr="00F90145">
        <w:rPr>
          <w:rFonts w:cs="Arial"/>
        </w:rPr>
        <w:t xml:space="preserve"> additional contribution to reserves </w:t>
      </w:r>
    </w:p>
    <w:p w14:paraId="35CEC3E1" w14:textId="77777777" w:rsidR="004558FE" w:rsidRPr="00F90145" w:rsidRDefault="004558FE" w:rsidP="004558FE">
      <w:pPr>
        <w:pStyle w:val="ListParagraph"/>
        <w:rPr>
          <w:rFonts w:cs="Arial"/>
        </w:rPr>
      </w:pPr>
    </w:p>
    <w:p w14:paraId="583D6DE5" w14:textId="222A0CB1" w:rsidR="004558FE" w:rsidRPr="00F90145" w:rsidRDefault="004558FE" w:rsidP="004558FE">
      <w:pPr>
        <w:pStyle w:val="ListParagraph"/>
        <w:numPr>
          <w:ilvl w:val="0"/>
          <w:numId w:val="12"/>
        </w:numPr>
        <w:ind w:left="1418" w:hanging="284"/>
        <w:jc w:val="both"/>
        <w:rPr>
          <w:rFonts w:cs="Arial"/>
        </w:rPr>
      </w:pPr>
      <w:r w:rsidRPr="00F90145">
        <w:rPr>
          <w:rFonts w:cs="Arial"/>
        </w:rPr>
        <w:t>(£</w:t>
      </w:r>
      <w:r>
        <w:rPr>
          <w:rFonts w:cs="Arial"/>
        </w:rPr>
        <w:t>214</w:t>
      </w:r>
      <w:r w:rsidRPr="00F90145">
        <w:rPr>
          <w:rFonts w:cs="Arial"/>
        </w:rPr>
        <w:t>k) various other opportunities</w:t>
      </w:r>
    </w:p>
    <w:p w14:paraId="0A977EBB" w14:textId="77777777" w:rsidR="004558FE" w:rsidRPr="004558FE" w:rsidRDefault="004558FE" w:rsidP="004558FE">
      <w:pPr>
        <w:pStyle w:val="ListParagraph"/>
        <w:ind w:left="460"/>
        <w:jc w:val="both"/>
        <w:rPr>
          <w:rFonts w:cs="Arial"/>
          <w:b/>
          <w:bCs/>
        </w:rPr>
      </w:pPr>
    </w:p>
    <w:p w14:paraId="6FA4343F" w14:textId="519B9403" w:rsidR="00B37833" w:rsidRPr="00C8506F" w:rsidRDefault="00B37833" w:rsidP="00B37833">
      <w:pPr>
        <w:pStyle w:val="ListParagraph"/>
        <w:ind w:left="460"/>
        <w:jc w:val="both"/>
        <w:rPr>
          <w:rFonts w:cs="Arial"/>
          <w:b/>
          <w:bCs/>
        </w:rPr>
      </w:pPr>
      <w:r w:rsidRPr="00C8506F">
        <w:rPr>
          <w:rFonts w:cs="Arial"/>
          <w:b/>
          <w:bCs/>
        </w:rPr>
        <w:t>Investment Properties</w:t>
      </w:r>
    </w:p>
    <w:p w14:paraId="09754655" w14:textId="77777777" w:rsidR="00B37833" w:rsidRPr="00C8506F" w:rsidRDefault="00B37833" w:rsidP="00B37833">
      <w:pPr>
        <w:pStyle w:val="ListParagraph"/>
        <w:ind w:left="567"/>
        <w:jc w:val="both"/>
        <w:rPr>
          <w:rFonts w:cs="Arial"/>
          <w:bCs/>
          <w:szCs w:val="24"/>
        </w:rPr>
      </w:pPr>
    </w:p>
    <w:p w14:paraId="7020EA4E" w14:textId="6ECC86E9" w:rsidR="00B37833" w:rsidRPr="00C8506F" w:rsidRDefault="00B37833" w:rsidP="007A4D31">
      <w:pPr>
        <w:pStyle w:val="ListParagraph"/>
        <w:numPr>
          <w:ilvl w:val="0"/>
          <w:numId w:val="5"/>
        </w:numPr>
        <w:ind w:left="460" w:hanging="567"/>
        <w:jc w:val="both"/>
        <w:rPr>
          <w:rFonts w:cs="Arial"/>
          <w:b/>
          <w:bCs/>
        </w:rPr>
      </w:pPr>
      <w:r w:rsidRPr="00C8506F">
        <w:rPr>
          <w:rFonts w:cs="Arial"/>
        </w:rPr>
        <w:t>The final outturn for investment properties is a net overspend of £</w:t>
      </w:r>
      <w:r w:rsidR="00C8506F" w:rsidRPr="00C8506F">
        <w:rPr>
          <w:rFonts w:cs="Arial"/>
        </w:rPr>
        <w:t>75</w:t>
      </w:r>
      <w:r w:rsidRPr="00C8506F">
        <w:rPr>
          <w:rFonts w:cs="Arial"/>
        </w:rPr>
        <w:t>k. This is due to vacant space which results in loss of rental income.</w:t>
      </w:r>
    </w:p>
    <w:p w14:paraId="39C9B2D7" w14:textId="77777777" w:rsidR="00B37833" w:rsidRPr="00562CE9" w:rsidRDefault="00B37833" w:rsidP="00B37833">
      <w:pPr>
        <w:pStyle w:val="ListParagraph"/>
        <w:rPr>
          <w:rFonts w:cs="Arial"/>
          <w:b/>
          <w:bCs/>
        </w:rPr>
      </w:pPr>
    </w:p>
    <w:p w14:paraId="09DEA95E" w14:textId="77777777" w:rsidR="00B37833" w:rsidRPr="00562CE9" w:rsidRDefault="00B37833" w:rsidP="007A4D31">
      <w:pPr>
        <w:pStyle w:val="ListParagraph"/>
        <w:numPr>
          <w:ilvl w:val="0"/>
          <w:numId w:val="5"/>
        </w:numPr>
        <w:ind w:left="460" w:hanging="567"/>
        <w:jc w:val="both"/>
        <w:rPr>
          <w:rFonts w:cs="Arial"/>
          <w:szCs w:val="24"/>
          <w:lang w:val="en-US"/>
        </w:rPr>
      </w:pPr>
      <w:r w:rsidRPr="00562CE9">
        <w:rPr>
          <w:rFonts w:cs="Arial"/>
        </w:rPr>
        <w:t xml:space="preserve">From 2015 to 2019 the Council acquired seven investment properties at a cost of £48.2m. The portfolio consists of warehouses and other commercial and residential properties across the UK, as well as an office block in Harrow. </w:t>
      </w:r>
    </w:p>
    <w:p w14:paraId="3E1424A9" w14:textId="77777777" w:rsidR="00B37833" w:rsidRPr="00562CE9" w:rsidRDefault="00B37833" w:rsidP="00B37833">
      <w:pPr>
        <w:pStyle w:val="ListParagraph"/>
        <w:ind w:left="460"/>
        <w:jc w:val="both"/>
        <w:rPr>
          <w:rFonts w:cs="Arial"/>
          <w:szCs w:val="24"/>
          <w:lang w:val="en-US"/>
        </w:rPr>
      </w:pPr>
    </w:p>
    <w:p w14:paraId="25CF3300" w14:textId="77777777" w:rsidR="00B37833" w:rsidRPr="00562CE9" w:rsidRDefault="00B37833" w:rsidP="007A4D31">
      <w:pPr>
        <w:pStyle w:val="ListParagraph"/>
        <w:numPr>
          <w:ilvl w:val="0"/>
          <w:numId w:val="5"/>
        </w:numPr>
        <w:ind w:left="460" w:hanging="567"/>
        <w:jc w:val="both"/>
        <w:rPr>
          <w:rFonts w:cs="Arial"/>
          <w:szCs w:val="24"/>
          <w:lang w:val="en-US"/>
        </w:rPr>
      </w:pPr>
      <w:r w:rsidRPr="00562CE9">
        <w:rPr>
          <w:rFonts w:cs="Arial"/>
        </w:rPr>
        <w:t>At acquisition, the net yield was estimated at 2.31% (gross yield 7.3%) for all but the office block Kings House (net yield 0.9% and gross yield 5.9%) which was also purchased as a land acquisition for potential regeneration. The return from investment properties was included in the MTFS.</w:t>
      </w:r>
    </w:p>
    <w:p w14:paraId="18E4450B" w14:textId="77777777" w:rsidR="00B37833" w:rsidRPr="00562CE9" w:rsidRDefault="00B37833" w:rsidP="00B37833">
      <w:pPr>
        <w:pStyle w:val="ListParagraph"/>
        <w:rPr>
          <w:rFonts w:cs="Arial"/>
        </w:rPr>
      </w:pPr>
    </w:p>
    <w:p w14:paraId="083979C3" w14:textId="77777777" w:rsidR="00B37833" w:rsidRPr="00562CE9" w:rsidRDefault="00B37833" w:rsidP="007A4D31">
      <w:pPr>
        <w:pStyle w:val="ListParagraph"/>
        <w:numPr>
          <w:ilvl w:val="0"/>
          <w:numId w:val="5"/>
        </w:numPr>
        <w:ind w:left="460" w:hanging="567"/>
        <w:jc w:val="both"/>
        <w:rPr>
          <w:rFonts w:cs="Arial"/>
          <w:szCs w:val="24"/>
          <w:lang w:val="en-US"/>
        </w:rPr>
      </w:pPr>
      <w:r w:rsidRPr="00562CE9">
        <w:rPr>
          <w:rFonts w:cs="Arial"/>
        </w:rPr>
        <w:t>The projected return from all but Kings House is currently on target despite COVID-19. There is vacant space in Kings House – part of the 3</w:t>
      </w:r>
      <w:r w:rsidRPr="00562CE9">
        <w:rPr>
          <w:rFonts w:cs="Arial"/>
          <w:vertAlign w:val="superscript"/>
        </w:rPr>
        <w:t>rd</w:t>
      </w:r>
      <w:r w:rsidRPr="00562CE9">
        <w:rPr>
          <w:rFonts w:cs="Arial"/>
        </w:rPr>
        <w:t xml:space="preserve"> floor has been vacant since acquisition and the remainder of the 3</w:t>
      </w:r>
      <w:r w:rsidRPr="00562CE9">
        <w:rPr>
          <w:rFonts w:cs="Arial"/>
          <w:vertAlign w:val="superscript"/>
        </w:rPr>
        <w:t>rd</w:t>
      </w:r>
      <w:r w:rsidRPr="00562CE9">
        <w:rPr>
          <w:rFonts w:cs="Arial"/>
        </w:rPr>
        <w:t xml:space="preserve"> floor became vacant in December 2020. This results in loss of rental receipts and the additional cost such as business rates and service charges which falls back to the council.</w:t>
      </w:r>
    </w:p>
    <w:p w14:paraId="2000DB40" w14:textId="77777777" w:rsidR="00B37833" w:rsidRPr="00562CE9" w:rsidRDefault="00B37833" w:rsidP="00B37833">
      <w:pPr>
        <w:pStyle w:val="ListParagraph"/>
        <w:rPr>
          <w:rFonts w:cs="Arial"/>
        </w:rPr>
      </w:pPr>
    </w:p>
    <w:p w14:paraId="2566B455" w14:textId="52B20B51" w:rsidR="00B37833" w:rsidRPr="00B37833" w:rsidRDefault="00B37833" w:rsidP="007A4D31">
      <w:pPr>
        <w:pStyle w:val="ListParagraph"/>
        <w:numPr>
          <w:ilvl w:val="0"/>
          <w:numId w:val="5"/>
        </w:numPr>
        <w:ind w:left="460" w:hanging="567"/>
        <w:jc w:val="both"/>
        <w:rPr>
          <w:rFonts w:cs="Arial"/>
          <w:szCs w:val="24"/>
          <w:lang w:val="en-US"/>
        </w:rPr>
      </w:pPr>
      <w:r w:rsidRPr="00562CE9">
        <w:rPr>
          <w:rFonts w:cs="Arial"/>
        </w:rPr>
        <w:t xml:space="preserve">The annual </w:t>
      </w:r>
      <w:r w:rsidRPr="0056292F">
        <w:rPr>
          <w:rFonts w:cs="Arial"/>
        </w:rPr>
        <w:t xml:space="preserve">estimated impact of vacant space at Kings House in 2021/22 is a loss of rental income and charges relating to vacant space in total of £369k. This is partly offset by earlier investment purchases achieving returns over and above their target hence the overall investment property </w:t>
      </w:r>
      <w:r w:rsidR="0056292F" w:rsidRPr="0056292F">
        <w:rPr>
          <w:rFonts w:cs="Arial"/>
        </w:rPr>
        <w:t>pressure of £75k</w:t>
      </w:r>
      <w:r w:rsidRPr="0056292F">
        <w:rPr>
          <w:rFonts w:cs="Arial"/>
        </w:rPr>
        <w:t xml:space="preserve">. </w:t>
      </w:r>
    </w:p>
    <w:p w14:paraId="08C45958" w14:textId="7F6A443F" w:rsidR="00B37833" w:rsidRDefault="00B37833" w:rsidP="00B37833">
      <w:pPr>
        <w:pStyle w:val="ListParagraph"/>
        <w:ind w:left="460"/>
        <w:jc w:val="both"/>
        <w:rPr>
          <w:rFonts w:cs="Arial"/>
          <w:b/>
          <w:bCs/>
          <w:color w:val="FF0000"/>
        </w:rPr>
      </w:pPr>
    </w:p>
    <w:p w14:paraId="2AC9332D" w14:textId="77777777" w:rsidR="00EF5843" w:rsidRDefault="00EF5843" w:rsidP="00B37833">
      <w:pPr>
        <w:pStyle w:val="ListParagraph"/>
        <w:ind w:left="460"/>
        <w:jc w:val="both"/>
        <w:rPr>
          <w:rFonts w:cs="Arial"/>
          <w:b/>
          <w:bCs/>
          <w:color w:val="FF0000"/>
        </w:rPr>
      </w:pPr>
    </w:p>
    <w:p w14:paraId="56A0C376" w14:textId="4DC46607" w:rsidR="00B37833" w:rsidRPr="00415CC1" w:rsidRDefault="00B37833" w:rsidP="00B37833">
      <w:pPr>
        <w:pStyle w:val="ListParagraph"/>
        <w:ind w:left="460"/>
        <w:jc w:val="both"/>
        <w:rPr>
          <w:rFonts w:cs="Arial"/>
          <w:b/>
          <w:bCs/>
        </w:rPr>
      </w:pPr>
      <w:r w:rsidRPr="00415CC1">
        <w:rPr>
          <w:rFonts w:cs="Arial"/>
          <w:b/>
          <w:szCs w:val="24"/>
        </w:rPr>
        <w:t>Transformation Savings</w:t>
      </w:r>
    </w:p>
    <w:p w14:paraId="70777668" w14:textId="77777777" w:rsidR="00B37833" w:rsidRPr="00415CC1" w:rsidRDefault="00B37833" w:rsidP="00B37833">
      <w:pPr>
        <w:pStyle w:val="ListParagraph"/>
        <w:tabs>
          <w:tab w:val="left" w:pos="142"/>
        </w:tabs>
        <w:ind w:left="567"/>
        <w:jc w:val="both"/>
        <w:rPr>
          <w:rFonts w:cs="Arial"/>
        </w:rPr>
      </w:pPr>
    </w:p>
    <w:p w14:paraId="6624AA68" w14:textId="77777777" w:rsidR="00415CC1" w:rsidRPr="00415CC1" w:rsidRDefault="00B37833" w:rsidP="007A4D31">
      <w:pPr>
        <w:pStyle w:val="ListParagraph"/>
        <w:numPr>
          <w:ilvl w:val="0"/>
          <w:numId w:val="5"/>
        </w:numPr>
        <w:ind w:left="460" w:hanging="567"/>
        <w:jc w:val="both"/>
        <w:rPr>
          <w:rFonts w:cs="Arial"/>
        </w:rPr>
      </w:pPr>
      <w:r w:rsidRPr="00415CC1">
        <w:rPr>
          <w:rFonts w:cs="Arial"/>
          <w:bCs/>
          <w:szCs w:val="24"/>
        </w:rPr>
        <w:t xml:space="preserve">The transformation savings target of £1m </w:t>
      </w:r>
      <w:r w:rsidR="00415CC1" w:rsidRPr="00415CC1">
        <w:rPr>
          <w:rFonts w:cs="Arial"/>
          <w:bCs/>
          <w:szCs w:val="24"/>
        </w:rPr>
        <w:t>has an adverse variance as the target was not met</w:t>
      </w:r>
    </w:p>
    <w:p w14:paraId="4A520EFF" w14:textId="77777777" w:rsidR="00415CC1" w:rsidRPr="00415CC1" w:rsidRDefault="00415CC1" w:rsidP="00415CC1">
      <w:pPr>
        <w:pStyle w:val="ListParagraph"/>
        <w:ind w:left="460"/>
        <w:jc w:val="both"/>
        <w:rPr>
          <w:rFonts w:cs="Arial"/>
        </w:rPr>
      </w:pPr>
    </w:p>
    <w:p w14:paraId="3CAD213D" w14:textId="27AA4627" w:rsidR="00415CC1" w:rsidRPr="00415CC1" w:rsidRDefault="00415CC1" w:rsidP="00415CC1">
      <w:pPr>
        <w:pStyle w:val="ListParagraph"/>
        <w:ind w:left="460"/>
        <w:jc w:val="both"/>
        <w:rPr>
          <w:rFonts w:cs="Arial"/>
        </w:rPr>
      </w:pPr>
      <w:r w:rsidRPr="00415CC1">
        <w:rPr>
          <w:rFonts w:cs="Arial"/>
          <w:b/>
          <w:szCs w:val="24"/>
        </w:rPr>
        <w:t>Covid-19 Grants &amp; Income</w:t>
      </w:r>
    </w:p>
    <w:p w14:paraId="58E0EC76" w14:textId="77777777" w:rsidR="00415CC1" w:rsidRPr="008B0567" w:rsidRDefault="00415CC1" w:rsidP="00415CC1">
      <w:pPr>
        <w:pStyle w:val="ListParagraph"/>
        <w:tabs>
          <w:tab w:val="left" w:pos="142"/>
        </w:tabs>
        <w:ind w:left="567"/>
        <w:jc w:val="both"/>
        <w:rPr>
          <w:rFonts w:cs="Arial"/>
        </w:rPr>
      </w:pPr>
    </w:p>
    <w:p w14:paraId="47DC59C3" w14:textId="2533169A" w:rsidR="00415CC1" w:rsidRPr="008B0567" w:rsidRDefault="00415CC1" w:rsidP="007A4D31">
      <w:pPr>
        <w:pStyle w:val="ListParagraph"/>
        <w:numPr>
          <w:ilvl w:val="0"/>
          <w:numId w:val="5"/>
        </w:numPr>
        <w:ind w:left="460" w:hanging="567"/>
        <w:jc w:val="both"/>
        <w:rPr>
          <w:rFonts w:cs="Arial"/>
        </w:rPr>
      </w:pPr>
      <w:r w:rsidRPr="008B0567">
        <w:rPr>
          <w:rFonts w:cs="Arial"/>
          <w:bCs/>
          <w:szCs w:val="24"/>
        </w:rPr>
        <w:t>In 2021</w:t>
      </w:r>
      <w:r w:rsidR="004558FE">
        <w:rPr>
          <w:rFonts w:cs="Arial"/>
          <w:bCs/>
          <w:szCs w:val="24"/>
        </w:rPr>
        <w:t>-</w:t>
      </w:r>
      <w:r w:rsidRPr="008B0567">
        <w:rPr>
          <w:rFonts w:cs="Arial"/>
          <w:bCs/>
          <w:szCs w:val="24"/>
        </w:rPr>
        <w:t xml:space="preserve">22 the council </w:t>
      </w:r>
      <w:r>
        <w:rPr>
          <w:rFonts w:cs="Arial"/>
          <w:bCs/>
          <w:szCs w:val="24"/>
        </w:rPr>
        <w:t>received</w:t>
      </w:r>
      <w:r w:rsidRPr="008B0567">
        <w:rPr>
          <w:rFonts w:cs="Arial"/>
          <w:bCs/>
          <w:szCs w:val="24"/>
        </w:rPr>
        <w:t xml:space="preserve"> the following </w:t>
      </w:r>
      <w:r>
        <w:rPr>
          <w:rFonts w:cs="Arial"/>
          <w:bCs/>
          <w:szCs w:val="24"/>
        </w:rPr>
        <w:t xml:space="preserve">non-specific </w:t>
      </w:r>
      <w:r w:rsidRPr="008B0567">
        <w:rPr>
          <w:rFonts w:cs="Arial"/>
          <w:bCs/>
          <w:szCs w:val="24"/>
        </w:rPr>
        <w:t xml:space="preserve">Covid-19 grants and income </w:t>
      </w:r>
      <w:r>
        <w:rPr>
          <w:rFonts w:cs="Arial"/>
          <w:bCs/>
          <w:szCs w:val="24"/>
        </w:rPr>
        <w:t xml:space="preserve">compensation </w:t>
      </w:r>
      <w:r w:rsidRPr="008B0567">
        <w:rPr>
          <w:rFonts w:cs="Arial"/>
          <w:bCs/>
          <w:szCs w:val="24"/>
        </w:rPr>
        <w:t xml:space="preserve">as shown at Table </w:t>
      </w:r>
      <w:r w:rsidR="008C3F8E">
        <w:rPr>
          <w:rFonts w:cs="Arial"/>
          <w:bCs/>
          <w:szCs w:val="24"/>
        </w:rPr>
        <w:t>6</w:t>
      </w:r>
      <w:r w:rsidR="004558FE">
        <w:rPr>
          <w:rFonts w:cs="Arial"/>
          <w:bCs/>
          <w:szCs w:val="24"/>
        </w:rPr>
        <w:t xml:space="preserve"> below.</w:t>
      </w:r>
    </w:p>
    <w:p w14:paraId="0F1B0444" w14:textId="77777777" w:rsidR="00415CC1" w:rsidRPr="008B0567" w:rsidRDefault="00415CC1" w:rsidP="00415CC1">
      <w:pPr>
        <w:ind w:left="460"/>
        <w:jc w:val="both"/>
        <w:rPr>
          <w:rFonts w:cs="Arial"/>
          <w:b/>
          <w:bCs/>
          <w:u w:val="single"/>
        </w:rPr>
      </w:pPr>
      <w:r w:rsidRPr="008B0567">
        <w:rPr>
          <w:rFonts w:cs="Arial"/>
          <w:b/>
          <w:bCs/>
          <w:u w:val="single"/>
        </w:rPr>
        <w:lastRenderedPageBreak/>
        <w:t xml:space="preserve">Table </w:t>
      </w:r>
      <w:r w:rsidR="00C920C9">
        <w:rPr>
          <w:rFonts w:cs="Arial"/>
          <w:b/>
          <w:bCs/>
          <w:u w:val="single"/>
        </w:rPr>
        <w:t>6:</w:t>
      </w:r>
      <w:r w:rsidRPr="008B0567">
        <w:rPr>
          <w:rFonts w:cs="Arial"/>
          <w:b/>
          <w:bCs/>
          <w:u w:val="single"/>
        </w:rPr>
        <w:t xml:space="preserve"> Covid-19 Grants &amp; Income</w:t>
      </w:r>
    </w:p>
    <w:p w14:paraId="1A7F5FE6" w14:textId="77777777" w:rsidR="00415CC1" w:rsidRPr="008B0567" w:rsidRDefault="00415CC1" w:rsidP="00415CC1">
      <w:pPr>
        <w:pStyle w:val="ListParagraph"/>
        <w:ind w:left="1418"/>
        <w:jc w:val="both"/>
        <w:rPr>
          <w:rFonts w:cs="Arial"/>
          <w:bCs/>
          <w:szCs w:val="24"/>
        </w:rPr>
      </w:pPr>
    </w:p>
    <w:tbl>
      <w:tblPr>
        <w:tblStyle w:val="TableGrid"/>
        <w:tblW w:w="0" w:type="auto"/>
        <w:tblInd w:w="421" w:type="dxa"/>
        <w:tblLook w:val="04A0" w:firstRow="1" w:lastRow="0" w:firstColumn="1" w:lastColumn="0" w:noHBand="0" w:noVBand="1"/>
      </w:tblPr>
      <w:tblGrid>
        <w:gridCol w:w="7343"/>
        <w:gridCol w:w="1255"/>
      </w:tblGrid>
      <w:tr w:rsidR="00411336" w:rsidRPr="00526AA6" w14:paraId="012C2963" w14:textId="77777777" w:rsidTr="000021FE">
        <w:tc>
          <w:tcPr>
            <w:tcW w:w="7512" w:type="dxa"/>
          </w:tcPr>
          <w:p w14:paraId="238EC110" w14:textId="77777777" w:rsidR="00415CC1" w:rsidRPr="00526AA6" w:rsidRDefault="00415CC1" w:rsidP="000021FE">
            <w:pPr>
              <w:pStyle w:val="ListParagraph"/>
              <w:ind w:left="0"/>
              <w:jc w:val="both"/>
              <w:rPr>
                <w:rFonts w:cs="Arial"/>
                <w:b/>
                <w:sz w:val="22"/>
                <w:szCs w:val="22"/>
              </w:rPr>
            </w:pPr>
            <w:r w:rsidRPr="00526AA6">
              <w:rPr>
                <w:rFonts w:cs="Arial"/>
                <w:b/>
                <w:sz w:val="22"/>
                <w:szCs w:val="22"/>
              </w:rPr>
              <w:t>Description</w:t>
            </w:r>
          </w:p>
        </w:tc>
        <w:tc>
          <w:tcPr>
            <w:tcW w:w="1271" w:type="dxa"/>
          </w:tcPr>
          <w:p w14:paraId="369159BB" w14:textId="77777777" w:rsidR="00415CC1" w:rsidRPr="00526AA6" w:rsidRDefault="00415CC1" w:rsidP="000021FE">
            <w:pPr>
              <w:pStyle w:val="ListParagraph"/>
              <w:ind w:left="0"/>
              <w:jc w:val="right"/>
              <w:rPr>
                <w:rFonts w:cs="Arial"/>
                <w:b/>
                <w:sz w:val="22"/>
                <w:szCs w:val="22"/>
              </w:rPr>
            </w:pPr>
            <w:r w:rsidRPr="00526AA6">
              <w:rPr>
                <w:rFonts w:cs="Arial"/>
                <w:b/>
                <w:sz w:val="22"/>
                <w:szCs w:val="22"/>
              </w:rPr>
              <w:t>£000</w:t>
            </w:r>
          </w:p>
        </w:tc>
      </w:tr>
      <w:tr w:rsidR="00411336" w:rsidRPr="00526AA6" w14:paraId="37276026" w14:textId="77777777" w:rsidTr="000021FE">
        <w:tc>
          <w:tcPr>
            <w:tcW w:w="7512" w:type="dxa"/>
          </w:tcPr>
          <w:p w14:paraId="163C7543" w14:textId="1DD24901" w:rsidR="00415CC1" w:rsidRPr="00526AA6" w:rsidRDefault="00415CC1" w:rsidP="000021FE">
            <w:pPr>
              <w:pStyle w:val="ListParagraph"/>
              <w:ind w:left="0"/>
              <w:jc w:val="both"/>
              <w:rPr>
                <w:rFonts w:cs="Arial"/>
                <w:bCs/>
                <w:sz w:val="22"/>
                <w:szCs w:val="22"/>
              </w:rPr>
            </w:pPr>
            <w:r w:rsidRPr="00526AA6">
              <w:rPr>
                <w:rFonts w:cs="Arial"/>
                <w:bCs/>
                <w:sz w:val="22"/>
                <w:szCs w:val="22"/>
              </w:rPr>
              <w:t>Covid-19 Expenditure Pressures Grant 2021</w:t>
            </w:r>
            <w:r w:rsidR="002543B8" w:rsidRPr="00526AA6">
              <w:rPr>
                <w:rFonts w:cs="Arial"/>
                <w:bCs/>
                <w:sz w:val="22"/>
                <w:szCs w:val="22"/>
              </w:rPr>
              <w:t>-</w:t>
            </w:r>
            <w:r w:rsidRPr="00526AA6">
              <w:rPr>
                <w:rFonts w:cs="Arial"/>
                <w:bCs/>
                <w:sz w:val="22"/>
                <w:szCs w:val="22"/>
              </w:rPr>
              <w:t>22</w:t>
            </w:r>
          </w:p>
        </w:tc>
        <w:tc>
          <w:tcPr>
            <w:tcW w:w="1271" w:type="dxa"/>
          </w:tcPr>
          <w:p w14:paraId="286B4AF5" w14:textId="77777777" w:rsidR="00415CC1" w:rsidRPr="00526AA6" w:rsidRDefault="00415CC1" w:rsidP="000021FE">
            <w:pPr>
              <w:pStyle w:val="ListParagraph"/>
              <w:ind w:left="0"/>
              <w:jc w:val="right"/>
              <w:rPr>
                <w:rFonts w:cs="Arial"/>
                <w:bCs/>
                <w:sz w:val="22"/>
                <w:szCs w:val="22"/>
              </w:rPr>
            </w:pPr>
            <w:r w:rsidRPr="00526AA6">
              <w:rPr>
                <w:rFonts w:cs="Arial"/>
                <w:bCs/>
                <w:sz w:val="22"/>
                <w:szCs w:val="22"/>
              </w:rPr>
              <w:t>6,051</w:t>
            </w:r>
          </w:p>
        </w:tc>
      </w:tr>
      <w:tr w:rsidR="00411336" w:rsidRPr="00526AA6" w14:paraId="0CD47F2B" w14:textId="77777777" w:rsidTr="000021FE">
        <w:tc>
          <w:tcPr>
            <w:tcW w:w="7512" w:type="dxa"/>
          </w:tcPr>
          <w:p w14:paraId="7CA06A67" w14:textId="77777777" w:rsidR="00415CC1" w:rsidRPr="00526AA6" w:rsidRDefault="00415CC1" w:rsidP="000021FE">
            <w:pPr>
              <w:pStyle w:val="ListParagraph"/>
              <w:ind w:left="0"/>
              <w:jc w:val="both"/>
              <w:rPr>
                <w:rFonts w:cs="Arial"/>
                <w:bCs/>
                <w:sz w:val="22"/>
                <w:szCs w:val="22"/>
              </w:rPr>
            </w:pPr>
            <w:r w:rsidRPr="00526AA6">
              <w:rPr>
                <w:rFonts w:cs="Arial"/>
                <w:bCs/>
                <w:sz w:val="22"/>
                <w:szCs w:val="22"/>
              </w:rPr>
              <w:t>Controlling Outbreak Management Fund</w:t>
            </w:r>
          </w:p>
        </w:tc>
        <w:tc>
          <w:tcPr>
            <w:tcW w:w="1271" w:type="dxa"/>
          </w:tcPr>
          <w:p w14:paraId="311EFCC9" w14:textId="77777777" w:rsidR="00415CC1" w:rsidRPr="00526AA6" w:rsidRDefault="00415CC1" w:rsidP="000021FE">
            <w:pPr>
              <w:pStyle w:val="ListParagraph"/>
              <w:ind w:left="0"/>
              <w:jc w:val="right"/>
              <w:rPr>
                <w:rFonts w:cs="Arial"/>
                <w:bCs/>
                <w:sz w:val="22"/>
                <w:szCs w:val="22"/>
              </w:rPr>
            </w:pPr>
          </w:p>
        </w:tc>
      </w:tr>
      <w:tr w:rsidR="00411336" w:rsidRPr="00526AA6" w14:paraId="74CBE47C" w14:textId="77777777" w:rsidTr="000021FE">
        <w:tc>
          <w:tcPr>
            <w:tcW w:w="7512" w:type="dxa"/>
          </w:tcPr>
          <w:p w14:paraId="4F1F476C" w14:textId="6B671406" w:rsidR="00415CC1" w:rsidRPr="00526AA6" w:rsidRDefault="00415CC1" w:rsidP="007A4D31">
            <w:pPr>
              <w:pStyle w:val="ListParagraph"/>
              <w:numPr>
                <w:ilvl w:val="0"/>
                <w:numId w:val="31"/>
              </w:numPr>
              <w:jc w:val="both"/>
              <w:rPr>
                <w:rFonts w:cs="Arial"/>
                <w:bCs/>
                <w:sz w:val="22"/>
                <w:szCs w:val="22"/>
              </w:rPr>
            </w:pPr>
            <w:r w:rsidRPr="00526AA6">
              <w:rPr>
                <w:rFonts w:cs="Arial"/>
                <w:bCs/>
                <w:sz w:val="22"/>
                <w:szCs w:val="22"/>
              </w:rPr>
              <w:t>2020</w:t>
            </w:r>
            <w:r w:rsidR="00526AA6">
              <w:rPr>
                <w:rFonts w:cs="Arial"/>
                <w:bCs/>
                <w:sz w:val="22"/>
                <w:szCs w:val="22"/>
              </w:rPr>
              <w:t>-</w:t>
            </w:r>
            <w:r w:rsidRPr="00526AA6">
              <w:rPr>
                <w:rFonts w:cs="Arial"/>
                <w:bCs/>
                <w:sz w:val="22"/>
                <w:szCs w:val="22"/>
              </w:rPr>
              <w:t>21 brought forward</w:t>
            </w:r>
          </w:p>
        </w:tc>
        <w:tc>
          <w:tcPr>
            <w:tcW w:w="1271" w:type="dxa"/>
          </w:tcPr>
          <w:p w14:paraId="7E03D9EA" w14:textId="77777777" w:rsidR="00415CC1" w:rsidRPr="00526AA6" w:rsidRDefault="00415CC1" w:rsidP="000021FE">
            <w:pPr>
              <w:pStyle w:val="ListParagraph"/>
              <w:ind w:left="0"/>
              <w:jc w:val="right"/>
              <w:rPr>
                <w:rFonts w:cs="Arial"/>
                <w:bCs/>
                <w:sz w:val="22"/>
                <w:szCs w:val="22"/>
              </w:rPr>
            </w:pPr>
            <w:r w:rsidRPr="00526AA6">
              <w:rPr>
                <w:rFonts w:cs="Arial"/>
                <w:bCs/>
                <w:sz w:val="22"/>
                <w:szCs w:val="22"/>
              </w:rPr>
              <w:t>1,503</w:t>
            </w:r>
          </w:p>
        </w:tc>
      </w:tr>
      <w:tr w:rsidR="00411336" w:rsidRPr="00526AA6" w14:paraId="64AC95DC" w14:textId="77777777" w:rsidTr="000021FE">
        <w:tc>
          <w:tcPr>
            <w:tcW w:w="7512" w:type="dxa"/>
          </w:tcPr>
          <w:p w14:paraId="4D095A43" w14:textId="58B9C673" w:rsidR="00415CC1" w:rsidRPr="00526AA6" w:rsidRDefault="00415CC1" w:rsidP="007A4D31">
            <w:pPr>
              <w:pStyle w:val="ListParagraph"/>
              <w:numPr>
                <w:ilvl w:val="0"/>
                <w:numId w:val="31"/>
              </w:numPr>
              <w:jc w:val="both"/>
              <w:rPr>
                <w:rFonts w:cs="Arial"/>
                <w:bCs/>
                <w:sz w:val="22"/>
                <w:szCs w:val="22"/>
              </w:rPr>
            </w:pPr>
            <w:r w:rsidRPr="00526AA6">
              <w:rPr>
                <w:rFonts w:cs="Arial"/>
                <w:bCs/>
                <w:sz w:val="22"/>
                <w:szCs w:val="22"/>
              </w:rPr>
              <w:t>2021</w:t>
            </w:r>
            <w:r w:rsidR="00526AA6">
              <w:rPr>
                <w:rFonts w:cs="Arial"/>
                <w:bCs/>
                <w:sz w:val="22"/>
                <w:szCs w:val="22"/>
              </w:rPr>
              <w:t>-</w:t>
            </w:r>
            <w:r w:rsidRPr="00526AA6">
              <w:rPr>
                <w:rFonts w:cs="Arial"/>
                <w:bCs/>
                <w:sz w:val="22"/>
                <w:szCs w:val="22"/>
              </w:rPr>
              <w:t>22 allocation</w:t>
            </w:r>
          </w:p>
        </w:tc>
        <w:tc>
          <w:tcPr>
            <w:tcW w:w="1271" w:type="dxa"/>
          </w:tcPr>
          <w:p w14:paraId="7AD8A7DC" w14:textId="4B4F5651" w:rsidR="00415CC1" w:rsidRPr="00526AA6" w:rsidRDefault="002543B8" w:rsidP="000021FE">
            <w:pPr>
              <w:pStyle w:val="ListParagraph"/>
              <w:ind w:left="0"/>
              <w:jc w:val="right"/>
              <w:rPr>
                <w:rFonts w:cs="Arial"/>
                <w:bCs/>
                <w:sz w:val="22"/>
                <w:szCs w:val="22"/>
              </w:rPr>
            </w:pPr>
            <w:r w:rsidRPr="00526AA6">
              <w:rPr>
                <w:rFonts w:cs="Arial"/>
                <w:bCs/>
                <w:sz w:val="22"/>
                <w:szCs w:val="22"/>
              </w:rPr>
              <w:t>1,565</w:t>
            </w:r>
          </w:p>
        </w:tc>
      </w:tr>
      <w:tr w:rsidR="004558FE" w:rsidRPr="00526AA6" w14:paraId="7DD25A16" w14:textId="77777777" w:rsidTr="000021FE">
        <w:tc>
          <w:tcPr>
            <w:tcW w:w="7512" w:type="dxa"/>
          </w:tcPr>
          <w:p w14:paraId="01ADB119" w14:textId="406803FE" w:rsidR="004558FE" w:rsidRPr="00526AA6" w:rsidRDefault="004558FE" w:rsidP="007A4D31">
            <w:pPr>
              <w:pStyle w:val="ListParagraph"/>
              <w:numPr>
                <w:ilvl w:val="0"/>
                <w:numId w:val="31"/>
              </w:numPr>
              <w:jc w:val="both"/>
              <w:rPr>
                <w:rFonts w:cs="Arial"/>
                <w:bCs/>
                <w:sz w:val="22"/>
                <w:szCs w:val="22"/>
              </w:rPr>
            </w:pPr>
            <w:r w:rsidRPr="00526AA6">
              <w:rPr>
                <w:rFonts w:cs="Arial"/>
                <w:bCs/>
                <w:sz w:val="22"/>
                <w:szCs w:val="22"/>
              </w:rPr>
              <w:t>2021-22 allocation underspend carry forward to 2022-23</w:t>
            </w:r>
          </w:p>
        </w:tc>
        <w:tc>
          <w:tcPr>
            <w:tcW w:w="1271" w:type="dxa"/>
          </w:tcPr>
          <w:p w14:paraId="7F6FC480" w14:textId="16D41716" w:rsidR="004558FE" w:rsidRPr="00526AA6" w:rsidRDefault="004558FE" w:rsidP="000021FE">
            <w:pPr>
              <w:pStyle w:val="ListParagraph"/>
              <w:ind w:left="0"/>
              <w:jc w:val="right"/>
              <w:rPr>
                <w:rFonts w:cs="Arial"/>
                <w:bCs/>
                <w:sz w:val="22"/>
                <w:szCs w:val="22"/>
              </w:rPr>
            </w:pPr>
            <w:r w:rsidRPr="00526AA6">
              <w:rPr>
                <w:rFonts w:cs="Arial"/>
                <w:bCs/>
                <w:sz w:val="22"/>
                <w:szCs w:val="22"/>
              </w:rPr>
              <w:t>-5</w:t>
            </w:r>
            <w:r w:rsidR="00526AA6" w:rsidRPr="00526AA6">
              <w:rPr>
                <w:rFonts w:cs="Arial"/>
                <w:bCs/>
                <w:sz w:val="22"/>
                <w:szCs w:val="22"/>
              </w:rPr>
              <w:t>79</w:t>
            </w:r>
          </w:p>
        </w:tc>
      </w:tr>
      <w:tr w:rsidR="00411336" w:rsidRPr="00526AA6" w14:paraId="3526CB1E" w14:textId="77777777" w:rsidTr="000021FE">
        <w:tc>
          <w:tcPr>
            <w:tcW w:w="7512" w:type="dxa"/>
          </w:tcPr>
          <w:p w14:paraId="4BFE0B56" w14:textId="77777777" w:rsidR="00415CC1" w:rsidRPr="00526AA6" w:rsidRDefault="00415CC1" w:rsidP="000021FE">
            <w:pPr>
              <w:pStyle w:val="ListParagraph"/>
              <w:ind w:left="0"/>
              <w:jc w:val="both"/>
              <w:rPr>
                <w:rFonts w:cs="Arial"/>
                <w:bCs/>
                <w:sz w:val="22"/>
                <w:szCs w:val="22"/>
              </w:rPr>
            </w:pPr>
            <w:r w:rsidRPr="00526AA6">
              <w:rPr>
                <w:rFonts w:cs="Arial"/>
                <w:bCs/>
                <w:sz w:val="22"/>
                <w:szCs w:val="22"/>
              </w:rPr>
              <w:t>Compensation for loss of sales, fees &amp; charges</w:t>
            </w:r>
          </w:p>
        </w:tc>
        <w:tc>
          <w:tcPr>
            <w:tcW w:w="1271" w:type="dxa"/>
          </w:tcPr>
          <w:p w14:paraId="6C05CA17" w14:textId="4AC6E049" w:rsidR="00415CC1" w:rsidRPr="00526AA6" w:rsidRDefault="004558FE" w:rsidP="000021FE">
            <w:pPr>
              <w:pStyle w:val="ListParagraph"/>
              <w:ind w:left="0"/>
              <w:jc w:val="right"/>
              <w:rPr>
                <w:rFonts w:cs="Arial"/>
                <w:bCs/>
                <w:sz w:val="22"/>
                <w:szCs w:val="22"/>
              </w:rPr>
            </w:pPr>
            <w:r w:rsidRPr="00526AA6">
              <w:rPr>
                <w:rFonts w:cs="Arial"/>
                <w:bCs/>
                <w:sz w:val="22"/>
                <w:szCs w:val="22"/>
              </w:rPr>
              <w:t>1,1</w:t>
            </w:r>
            <w:r w:rsidR="00526AA6" w:rsidRPr="00526AA6">
              <w:rPr>
                <w:rFonts w:cs="Arial"/>
                <w:bCs/>
                <w:sz w:val="22"/>
                <w:szCs w:val="22"/>
              </w:rPr>
              <w:t>3</w:t>
            </w:r>
            <w:r w:rsidRPr="00526AA6">
              <w:rPr>
                <w:rFonts w:cs="Arial"/>
                <w:bCs/>
                <w:sz w:val="22"/>
                <w:szCs w:val="22"/>
              </w:rPr>
              <w:t>3</w:t>
            </w:r>
          </w:p>
        </w:tc>
      </w:tr>
      <w:tr w:rsidR="00411336" w:rsidRPr="00526AA6" w14:paraId="6A930ABC" w14:textId="77777777" w:rsidTr="000021FE">
        <w:tc>
          <w:tcPr>
            <w:tcW w:w="7512" w:type="dxa"/>
          </w:tcPr>
          <w:p w14:paraId="2C4B13FE" w14:textId="77777777" w:rsidR="00415CC1" w:rsidRPr="00526AA6" w:rsidRDefault="00415CC1" w:rsidP="000021FE">
            <w:pPr>
              <w:pStyle w:val="ListParagraph"/>
              <w:ind w:left="0"/>
              <w:jc w:val="both"/>
              <w:rPr>
                <w:rFonts w:cs="Arial"/>
                <w:b/>
                <w:sz w:val="22"/>
                <w:szCs w:val="22"/>
              </w:rPr>
            </w:pPr>
            <w:r w:rsidRPr="00526AA6">
              <w:rPr>
                <w:rFonts w:cs="Arial"/>
                <w:b/>
                <w:sz w:val="22"/>
                <w:szCs w:val="22"/>
              </w:rPr>
              <w:t>Total Covid-19 grants and income</w:t>
            </w:r>
          </w:p>
        </w:tc>
        <w:tc>
          <w:tcPr>
            <w:tcW w:w="1271" w:type="dxa"/>
          </w:tcPr>
          <w:p w14:paraId="574AC5CC" w14:textId="7B8A6468" w:rsidR="00415CC1" w:rsidRPr="00526AA6" w:rsidRDefault="00411336" w:rsidP="000021FE">
            <w:pPr>
              <w:pStyle w:val="ListParagraph"/>
              <w:ind w:left="0"/>
              <w:jc w:val="right"/>
              <w:rPr>
                <w:rFonts w:cs="Arial"/>
                <w:b/>
                <w:sz w:val="22"/>
                <w:szCs w:val="22"/>
              </w:rPr>
            </w:pPr>
            <w:r w:rsidRPr="00526AA6">
              <w:rPr>
                <w:rFonts w:cs="Arial"/>
                <w:b/>
                <w:sz w:val="22"/>
                <w:szCs w:val="22"/>
              </w:rPr>
              <w:t>9</w:t>
            </w:r>
            <w:r w:rsidR="00526AA6">
              <w:rPr>
                <w:rFonts w:cs="Arial"/>
                <w:b/>
                <w:sz w:val="22"/>
                <w:szCs w:val="22"/>
              </w:rPr>
              <w:t>,</w:t>
            </w:r>
            <w:r w:rsidR="00526AA6" w:rsidRPr="00526AA6">
              <w:rPr>
                <w:rFonts w:cs="Arial"/>
                <w:b/>
                <w:sz w:val="22"/>
                <w:szCs w:val="22"/>
              </w:rPr>
              <w:t>673</w:t>
            </w:r>
          </w:p>
        </w:tc>
      </w:tr>
    </w:tbl>
    <w:p w14:paraId="260FB028" w14:textId="77777777" w:rsidR="00415CC1" w:rsidRDefault="00415CC1" w:rsidP="00415CC1">
      <w:pPr>
        <w:jc w:val="both"/>
        <w:rPr>
          <w:rFonts w:cs="Arial"/>
          <w:bCs/>
          <w:szCs w:val="24"/>
        </w:rPr>
      </w:pPr>
    </w:p>
    <w:p w14:paraId="42E5AA8D" w14:textId="79524C04" w:rsidR="00415CC1" w:rsidRPr="00687C8D" w:rsidRDefault="00415CC1" w:rsidP="007A4D31">
      <w:pPr>
        <w:pStyle w:val="ListParagraph"/>
        <w:numPr>
          <w:ilvl w:val="0"/>
          <w:numId w:val="5"/>
        </w:numPr>
        <w:ind w:left="460" w:hanging="567"/>
        <w:jc w:val="both"/>
        <w:rPr>
          <w:rFonts w:cs="Arial"/>
        </w:rPr>
      </w:pPr>
      <w:r w:rsidRPr="008B0567">
        <w:rPr>
          <w:rFonts w:cs="Arial"/>
          <w:bCs/>
          <w:szCs w:val="24"/>
        </w:rPr>
        <w:t>The Covid-19 Expenditure Pressures Grant 2021</w:t>
      </w:r>
      <w:r w:rsidR="002543B8">
        <w:rPr>
          <w:rFonts w:cs="Arial"/>
          <w:bCs/>
          <w:szCs w:val="24"/>
        </w:rPr>
        <w:t>-</w:t>
      </w:r>
      <w:r w:rsidRPr="008B0567">
        <w:rPr>
          <w:rFonts w:cs="Arial"/>
          <w:bCs/>
          <w:szCs w:val="24"/>
        </w:rPr>
        <w:t>22 allocation of £6.051m was included in the overall 2021</w:t>
      </w:r>
      <w:r w:rsidR="002543B8">
        <w:rPr>
          <w:rFonts w:cs="Arial"/>
          <w:bCs/>
          <w:szCs w:val="24"/>
        </w:rPr>
        <w:t>-</w:t>
      </w:r>
      <w:r w:rsidRPr="008B0567">
        <w:rPr>
          <w:rFonts w:cs="Arial"/>
          <w:bCs/>
          <w:szCs w:val="24"/>
        </w:rPr>
        <w:t xml:space="preserve">22 budget on a one-off basis. Compensation for loss of sales, fees &amp; charges was also included in the budget on a one-off basis but at an estimated lower value of £500k. </w:t>
      </w:r>
    </w:p>
    <w:p w14:paraId="7FCCA9A7" w14:textId="77777777" w:rsidR="00415CC1" w:rsidRPr="001859C2" w:rsidRDefault="00415CC1" w:rsidP="00415CC1">
      <w:pPr>
        <w:pStyle w:val="ListParagraph"/>
        <w:ind w:left="460"/>
        <w:jc w:val="both"/>
        <w:rPr>
          <w:rFonts w:cs="Arial"/>
        </w:rPr>
      </w:pPr>
    </w:p>
    <w:p w14:paraId="3A189E15" w14:textId="78AE0B9F" w:rsidR="00415CC1" w:rsidRPr="001859C2" w:rsidRDefault="00415CC1" w:rsidP="007A4D31">
      <w:pPr>
        <w:pStyle w:val="ListParagraph"/>
        <w:numPr>
          <w:ilvl w:val="0"/>
          <w:numId w:val="5"/>
        </w:numPr>
        <w:ind w:left="460" w:hanging="567"/>
        <w:jc w:val="both"/>
        <w:rPr>
          <w:rFonts w:cs="Arial"/>
          <w:bCs/>
          <w:szCs w:val="24"/>
        </w:rPr>
      </w:pPr>
      <w:r w:rsidRPr="001859C2">
        <w:rPr>
          <w:rFonts w:cs="Arial"/>
          <w:bCs/>
          <w:szCs w:val="24"/>
        </w:rPr>
        <w:t xml:space="preserve">Both COMF allocations were allocated to additional expenditure within the directorates including enhanced cleaning, fire risk assessments, communications, Covid-19 marshals and other COMF relevant activities.  There was an underspend of </w:t>
      </w:r>
      <w:r w:rsidR="00411336" w:rsidRPr="001859C2">
        <w:rPr>
          <w:rFonts w:cs="Arial"/>
          <w:bCs/>
          <w:szCs w:val="24"/>
        </w:rPr>
        <w:t>£57</w:t>
      </w:r>
      <w:r w:rsidR="00526AA6">
        <w:rPr>
          <w:rFonts w:cs="Arial"/>
          <w:bCs/>
          <w:szCs w:val="24"/>
        </w:rPr>
        <w:t>9</w:t>
      </w:r>
      <w:r w:rsidR="00411336" w:rsidRPr="001859C2">
        <w:rPr>
          <w:rFonts w:cs="Arial"/>
          <w:bCs/>
          <w:szCs w:val="24"/>
        </w:rPr>
        <w:t>k which will be carried forward to 2022-23 to fund residual activities</w:t>
      </w:r>
    </w:p>
    <w:p w14:paraId="5FA040FF" w14:textId="77777777" w:rsidR="00415CC1" w:rsidRPr="00415CC1" w:rsidRDefault="00415CC1" w:rsidP="00415CC1">
      <w:pPr>
        <w:pStyle w:val="ListParagraph"/>
        <w:rPr>
          <w:rFonts w:cs="Arial"/>
          <w:bCs/>
          <w:szCs w:val="24"/>
        </w:rPr>
      </w:pPr>
    </w:p>
    <w:p w14:paraId="71E1C82B" w14:textId="5DF94053" w:rsidR="003E498C" w:rsidRDefault="00415CC1" w:rsidP="003E498C">
      <w:pPr>
        <w:pStyle w:val="ListParagraph"/>
        <w:numPr>
          <w:ilvl w:val="0"/>
          <w:numId w:val="5"/>
        </w:numPr>
        <w:ind w:left="460" w:hanging="567"/>
        <w:jc w:val="both"/>
        <w:rPr>
          <w:rFonts w:cs="Arial"/>
          <w:bCs/>
          <w:szCs w:val="24"/>
        </w:rPr>
      </w:pPr>
      <w:r w:rsidRPr="008C77BE">
        <w:rPr>
          <w:rFonts w:cs="Arial"/>
          <w:bCs/>
          <w:szCs w:val="24"/>
        </w:rPr>
        <w:t xml:space="preserve">There are also a number of other Covid-19 related specific grants which are held within the directorates and not shown in the table above. These can be found in more detail at Appendix </w:t>
      </w:r>
      <w:r w:rsidR="008C77BE" w:rsidRPr="008C77BE">
        <w:rPr>
          <w:rFonts w:cs="Arial"/>
          <w:bCs/>
          <w:szCs w:val="24"/>
        </w:rPr>
        <w:t>1</w:t>
      </w:r>
      <w:r w:rsidRPr="008C77BE">
        <w:rPr>
          <w:rFonts w:cs="Arial"/>
          <w:bCs/>
          <w:szCs w:val="24"/>
        </w:rPr>
        <w:t>.</w:t>
      </w:r>
    </w:p>
    <w:p w14:paraId="431450F6" w14:textId="77777777" w:rsidR="003E498C" w:rsidRPr="003E498C" w:rsidRDefault="003E498C" w:rsidP="003E498C">
      <w:pPr>
        <w:pStyle w:val="ListParagraph"/>
        <w:rPr>
          <w:rFonts w:cs="Arial"/>
          <w:bCs/>
          <w:szCs w:val="24"/>
        </w:rPr>
      </w:pPr>
    </w:p>
    <w:p w14:paraId="3E2596BB" w14:textId="636B138B" w:rsidR="003E498C" w:rsidRPr="003E498C" w:rsidRDefault="003E498C" w:rsidP="003E498C">
      <w:pPr>
        <w:jc w:val="both"/>
        <w:rPr>
          <w:rFonts w:cs="Arial"/>
          <w:b/>
          <w:szCs w:val="24"/>
        </w:rPr>
      </w:pPr>
      <w:r w:rsidRPr="003E498C">
        <w:rPr>
          <w:rFonts w:cs="Arial"/>
          <w:b/>
          <w:szCs w:val="24"/>
        </w:rPr>
        <w:t>RESERVES</w:t>
      </w:r>
    </w:p>
    <w:p w14:paraId="56386321" w14:textId="77777777" w:rsidR="003E498C" w:rsidRPr="003E498C" w:rsidRDefault="003E498C" w:rsidP="003E498C">
      <w:pPr>
        <w:jc w:val="both"/>
        <w:rPr>
          <w:rFonts w:cs="Arial"/>
          <w:bCs/>
          <w:szCs w:val="24"/>
        </w:rPr>
      </w:pPr>
    </w:p>
    <w:p w14:paraId="3E63C1EB" w14:textId="1F23C201" w:rsidR="005B3414" w:rsidRPr="003E498C" w:rsidRDefault="00245400" w:rsidP="003E498C">
      <w:pPr>
        <w:pStyle w:val="ListParagraph"/>
        <w:numPr>
          <w:ilvl w:val="0"/>
          <w:numId w:val="5"/>
        </w:numPr>
        <w:ind w:left="460" w:hanging="567"/>
        <w:jc w:val="both"/>
        <w:rPr>
          <w:rFonts w:cs="Arial"/>
          <w:bCs/>
          <w:szCs w:val="24"/>
        </w:rPr>
      </w:pPr>
      <w:r w:rsidRPr="003E498C">
        <w:rPr>
          <w:rFonts w:cs="Arial"/>
        </w:rPr>
        <w:t xml:space="preserve">Below at Table 7 is a schedule of all the reserves held by the Council </w:t>
      </w:r>
      <w:proofErr w:type="gramStart"/>
      <w:r w:rsidRPr="003E498C">
        <w:rPr>
          <w:rFonts w:cs="Arial"/>
        </w:rPr>
        <w:t>at</w:t>
      </w:r>
      <w:proofErr w:type="gramEnd"/>
      <w:r w:rsidRPr="003E498C">
        <w:rPr>
          <w:rFonts w:cs="Arial"/>
        </w:rPr>
        <w:t xml:space="preserve"> 31 March 2022. The table also shows the movements in 2021-22 </w:t>
      </w:r>
      <w:r w:rsidR="00253051" w:rsidRPr="003E498C">
        <w:rPr>
          <w:rFonts w:cs="Arial"/>
          <w:lang w:val="en-US"/>
        </w:rPr>
        <w:t xml:space="preserve">followed by narrative </w:t>
      </w:r>
      <w:r w:rsidR="00C742E3" w:rsidRPr="003E498C">
        <w:rPr>
          <w:rFonts w:cs="Arial"/>
          <w:lang w:val="en-US"/>
        </w:rPr>
        <w:t>of the key movements set out below</w:t>
      </w:r>
      <w:r w:rsidR="005B3414" w:rsidRPr="003E498C">
        <w:rPr>
          <w:rFonts w:cs="Arial"/>
          <w:lang w:val="en-US"/>
        </w:rPr>
        <w:t xml:space="preserve">. </w:t>
      </w:r>
    </w:p>
    <w:p w14:paraId="1F0687B3" w14:textId="77777777" w:rsidR="00245400" w:rsidRDefault="00245400" w:rsidP="00C920C9">
      <w:pPr>
        <w:jc w:val="both"/>
        <w:rPr>
          <w:rFonts w:cs="Arial"/>
          <w:b/>
          <w:bCs/>
          <w:u w:val="single"/>
          <w:lang w:val="en-US"/>
        </w:rPr>
      </w:pPr>
    </w:p>
    <w:p w14:paraId="27F0299C" w14:textId="4CD84D9A" w:rsidR="00255B51" w:rsidRDefault="00255B51">
      <w:pPr>
        <w:rPr>
          <w:rFonts w:cs="Arial"/>
          <w:b/>
          <w:bCs/>
          <w:u w:val="single"/>
          <w:lang w:val="en-US"/>
        </w:rPr>
      </w:pPr>
      <w:r>
        <w:rPr>
          <w:rFonts w:cs="Arial"/>
          <w:b/>
          <w:bCs/>
          <w:u w:val="single"/>
          <w:lang w:val="en-US"/>
        </w:rPr>
        <w:br w:type="page"/>
      </w:r>
    </w:p>
    <w:p w14:paraId="46A54DED" w14:textId="1921F395" w:rsidR="00253051" w:rsidRPr="00415CC1" w:rsidRDefault="00253051" w:rsidP="00C920C9">
      <w:pPr>
        <w:jc w:val="both"/>
        <w:rPr>
          <w:rFonts w:cs="Arial"/>
          <w:b/>
          <w:bCs/>
          <w:u w:val="single"/>
          <w:lang w:val="en-US"/>
        </w:rPr>
      </w:pPr>
      <w:r w:rsidRPr="00415CC1">
        <w:rPr>
          <w:rFonts w:cs="Arial"/>
          <w:b/>
          <w:bCs/>
          <w:u w:val="single"/>
          <w:lang w:val="en-US"/>
        </w:rPr>
        <w:lastRenderedPageBreak/>
        <w:t xml:space="preserve">Table </w:t>
      </w:r>
      <w:r w:rsidR="00C920C9">
        <w:rPr>
          <w:rFonts w:cs="Arial"/>
          <w:b/>
          <w:bCs/>
          <w:u w:val="single"/>
          <w:lang w:val="en-US"/>
        </w:rPr>
        <w:t xml:space="preserve">7: </w:t>
      </w:r>
      <w:r w:rsidRPr="00415CC1">
        <w:rPr>
          <w:rFonts w:cs="Arial"/>
          <w:b/>
          <w:bCs/>
          <w:u w:val="single"/>
          <w:lang w:val="en-US"/>
        </w:rPr>
        <w:t xml:space="preserve">Summary of Reserves </w:t>
      </w:r>
      <w:r w:rsidR="00415CC1" w:rsidRPr="00415CC1">
        <w:rPr>
          <w:rFonts w:cs="Arial"/>
          <w:b/>
          <w:bCs/>
          <w:u w:val="single"/>
          <w:lang w:val="en-US"/>
        </w:rPr>
        <w:t>2021-22</w:t>
      </w:r>
    </w:p>
    <w:p w14:paraId="0C112F9E" w14:textId="77777777" w:rsidR="00C742E3" w:rsidRPr="00B37833" w:rsidRDefault="00C742E3" w:rsidP="00C742E3">
      <w:pPr>
        <w:pStyle w:val="ListParagraph"/>
        <w:ind w:left="567"/>
        <w:jc w:val="both"/>
        <w:rPr>
          <w:rFonts w:cs="Arial"/>
          <w:color w:val="FF0000"/>
          <w:lang w:val="en-US"/>
        </w:rPr>
      </w:pPr>
    </w:p>
    <w:tbl>
      <w:tblPr>
        <w:tblStyle w:val="TableGrid"/>
        <w:tblW w:w="10201" w:type="dxa"/>
        <w:tblLook w:val="04A0" w:firstRow="1" w:lastRow="0" w:firstColumn="1" w:lastColumn="0" w:noHBand="0" w:noVBand="1"/>
      </w:tblPr>
      <w:tblGrid>
        <w:gridCol w:w="3539"/>
        <w:gridCol w:w="1364"/>
        <w:gridCol w:w="1319"/>
        <w:gridCol w:w="1317"/>
        <w:gridCol w:w="1269"/>
        <w:gridCol w:w="1393"/>
      </w:tblGrid>
      <w:tr w:rsidR="00255B51" w:rsidRPr="00255B51" w14:paraId="45CBA8BF" w14:textId="77777777" w:rsidTr="00255B51">
        <w:tc>
          <w:tcPr>
            <w:tcW w:w="3539" w:type="dxa"/>
            <w:shd w:val="clear" w:color="auto" w:fill="auto"/>
            <w:vAlign w:val="center"/>
          </w:tcPr>
          <w:p w14:paraId="09F3300E" w14:textId="66CB32DE" w:rsidR="00255B51" w:rsidRPr="00255B51" w:rsidRDefault="00255B51" w:rsidP="00255B51">
            <w:pPr>
              <w:rPr>
                <w:rFonts w:cs="Arial"/>
                <w:sz w:val="20"/>
                <w:lang w:val="en-US"/>
              </w:rPr>
            </w:pPr>
            <w:r w:rsidRPr="00255B51">
              <w:rPr>
                <w:rFonts w:cs="Arial"/>
                <w:b/>
                <w:bCs/>
                <w:color w:val="000000"/>
                <w:sz w:val="20"/>
              </w:rPr>
              <w:t xml:space="preserve">Description </w:t>
            </w:r>
          </w:p>
        </w:tc>
        <w:tc>
          <w:tcPr>
            <w:tcW w:w="1364" w:type="dxa"/>
            <w:shd w:val="clear" w:color="auto" w:fill="auto"/>
            <w:vAlign w:val="center"/>
          </w:tcPr>
          <w:p w14:paraId="51874C4C" w14:textId="6B2A73B7" w:rsidR="00255B51" w:rsidRPr="00255B51" w:rsidRDefault="00255B51" w:rsidP="00255B51">
            <w:pPr>
              <w:jc w:val="center"/>
              <w:rPr>
                <w:rFonts w:cs="Arial"/>
                <w:sz w:val="20"/>
                <w:lang w:val="en-US"/>
              </w:rPr>
            </w:pPr>
            <w:r w:rsidRPr="00255B51">
              <w:rPr>
                <w:rFonts w:cs="Arial"/>
                <w:b/>
                <w:bCs/>
                <w:color w:val="000000"/>
                <w:sz w:val="20"/>
              </w:rPr>
              <w:t>Brought Forward 01/04/21</w:t>
            </w:r>
          </w:p>
        </w:tc>
        <w:tc>
          <w:tcPr>
            <w:tcW w:w="1319" w:type="dxa"/>
            <w:shd w:val="clear" w:color="auto" w:fill="auto"/>
            <w:vAlign w:val="center"/>
          </w:tcPr>
          <w:p w14:paraId="4E86D6D3" w14:textId="283D86D0" w:rsidR="00255B51" w:rsidRPr="00255B51" w:rsidRDefault="00255B51" w:rsidP="00255B51">
            <w:pPr>
              <w:jc w:val="center"/>
              <w:rPr>
                <w:rFonts w:cs="Arial"/>
                <w:sz w:val="20"/>
                <w:lang w:val="en-US"/>
              </w:rPr>
            </w:pPr>
            <w:r w:rsidRPr="00255B51">
              <w:rPr>
                <w:rFonts w:cs="Arial"/>
                <w:b/>
                <w:bCs/>
                <w:color w:val="000000"/>
                <w:sz w:val="20"/>
              </w:rPr>
              <w:t>Directorate Reserve Movements</w:t>
            </w:r>
          </w:p>
        </w:tc>
        <w:tc>
          <w:tcPr>
            <w:tcW w:w="1317" w:type="dxa"/>
            <w:shd w:val="clear" w:color="auto" w:fill="auto"/>
            <w:vAlign w:val="center"/>
          </w:tcPr>
          <w:p w14:paraId="25EC46FA" w14:textId="5B69A64A" w:rsidR="00255B51" w:rsidRPr="00255B51" w:rsidRDefault="00255B51" w:rsidP="00255B51">
            <w:pPr>
              <w:jc w:val="center"/>
              <w:rPr>
                <w:rFonts w:cs="Arial"/>
                <w:sz w:val="20"/>
                <w:lang w:val="en-US"/>
              </w:rPr>
            </w:pPr>
            <w:r w:rsidRPr="00255B51">
              <w:rPr>
                <w:rFonts w:cs="Arial"/>
                <w:b/>
                <w:bCs/>
                <w:color w:val="000000"/>
                <w:sz w:val="20"/>
              </w:rPr>
              <w:t>Corporate Reserves Movements</w:t>
            </w:r>
          </w:p>
        </w:tc>
        <w:tc>
          <w:tcPr>
            <w:tcW w:w="1269" w:type="dxa"/>
            <w:shd w:val="clear" w:color="auto" w:fill="auto"/>
            <w:vAlign w:val="center"/>
          </w:tcPr>
          <w:p w14:paraId="746BB4FE" w14:textId="7F1D3EB8" w:rsidR="00255B51" w:rsidRPr="00255B51" w:rsidRDefault="00255B51" w:rsidP="00255B51">
            <w:pPr>
              <w:jc w:val="center"/>
              <w:rPr>
                <w:rFonts w:cs="Arial"/>
                <w:sz w:val="20"/>
                <w:lang w:val="en-US"/>
              </w:rPr>
            </w:pPr>
            <w:r w:rsidRPr="00255B51">
              <w:rPr>
                <w:rFonts w:cs="Arial"/>
                <w:b/>
                <w:bCs/>
                <w:color w:val="000000"/>
                <w:sz w:val="20"/>
              </w:rPr>
              <w:t>Other Reserves movement</w:t>
            </w:r>
          </w:p>
        </w:tc>
        <w:tc>
          <w:tcPr>
            <w:tcW w:w="1393" w:type="dxa"/>
            <w:shd w:val="clear" w:color="auto" w:fill="auto"/>
            <w:vAlign w:val="center"/>
          </w:tcPr>
          <w:p w14:paraId="630B5BBF" w14:textId="1FFC10E2" w:rsidR="00255B51" w:rsidRPr="00255B51" w:rsidRDefault="00255B51" w:rsidP="00255B51">
            <w:pPr>
              <w:jc w:val="center"/>
              <w:rPr>
                <w:rFonts w:cs="Arial"/>
                <w:sz w:val="20"/>
                <w:lang w:val="en-US"/>
              </w:rPr>
            </w:pPr>
            <w:r w:rsidRPr="00255B51">
              <w:rPr>
                <w:rFonts w:cs="Arial"/>
                <w:b/>
                <w:bCs/>
                <w:color w:val="000000"/>
                <w:sz w:val="20"/>
              </w:rPr>
              <w:t>Balance Carry Forward 31/03/2022</w:t>
            </w:r>
          </w:p>
        </w:tc>
      </w:tr>
      <w:tr w:rsidR="00605CEF" w:rsidRPr="00255B51" w14:paraId="0A3F68CC" w14:textId="77777777" w:rsidTr="008D1198">
        <w:tc>
          <w:tcPr>
            <w:tcW w:w="3539" w:type="dxa"/>
            <w:shd w:val="clear" w:color="auto" w:fill="auto"/>
            <w:vAlign w:val="center"/>
          </w:tcPr>
          <w:p w14:paraId="3115729E" w14:textId="1C6B5ED2" w:rsidR="00605CEF" w:rsidRPr="00255B51" w:rsidRDefault="00605CEF" w:rsidP="00605CEF">
            <w:pPr>
              <w:rPr>
                <w:rFonts w:cs="Arial"/>
                <w:sz w:val="20"/>
                <w:lang w:val="en-US"/>
              </w:rPr>
            </w:pPr>
            <w:r w:rsidRPr="00255B51">
              <w:rPr>
                <w:rFonts w:cs="Arial"/>
                <w:sz w:val="20"/>
              </w:rPr>
              <w:t>CIL Harrow</w:t>
            </w:r>
          </w:p>
        </w:tc>
        <w:tc>
          <w:tcPr>
            <w:tcW w:w="1364" w:type="dxa"/>
            <w:shd w:val="clear" w:color="auto" w:fill="auto"/>
            <w:vAlign w:val="center"/>
          </w:tcPr>
          <w:p w14:paraId="1EDAD8F7" w14:textId="56A61350" w:rsidR="00605CEF" w:rsidRPr="00255B51" w:rsidRDefault="00605CEF" w:rsidP="00605CEF">
            <w:pPr>
              <w:jc w:val="right"/>
              <w:rPr>
                <w:rFonts w:cs="Arial"/>
                <w:sz w:val="20"/>
                <w:lang w:val="en-US"/>
              </w:rPr>
            </w:pPr>
            <w:r w:rsidRPr="00255B51">
              <w:rPr>
                <w:rFonts w:cs="Arial"/>
                <w:sz w:val="20"/>
              </w:rPr>
              <w:t>-6,730,442</w:t>
            </w:r>
          </w:p>
        </w:tc>
        <w:tc>
          <w:tcPr>
            <w:tcW w:w="1319" w:type="dxa"/>
            <w:shd w:val="clear" w:color="auto" w:fill="auto"/>
          </w:tcPr>
          <w:p w14:paraId="4CC22CBC" w14:textId="08C1A667" w:rsidR="00605CEF" w:rsidRPr="00605CEF" w:rsidRDefault="00605CEF" w:rsidP="00605CEF">
            <w:pPr>
              <w:jc w:val="right"/>
              <w:rPr>
                <w:rFonts w:cs="Arial"/>
                <w:sz w:val="20"/>
                <w:lang w:val="en-US"/>
              </w:rPr>
            </w:pPr>
            <w:r w:rsidRPr="00605CEF">
              <w:rPr>
                <w:sz w:val="20"/>
              </w:rPr>
              <w:t>-2,295,420</w:t>
            </w:r>
          </w:p>
        </w:tc>
        <w:tc>
          <w:tcPr>
            <w:tcW w:w="1317" w:type="dxa"/>
            <w:shd w:val="clear" w:color="auto" w:fill="auto"/>
          </w:tcPr>
          <w:p w14:paraId="503AFA31" w14:textId="081962A9" w:rsidR="00605CEF" w:rsidRPr="00605CEF" w:rsidRDefault="00605CEF" w:rsidP="00605CEF">
            <w:pPr>
              <w:jc w:val="right"/>
              <w:rPr>
                <w:rFonts w:cs="Arial"/>
                <w:sz w:val="20"/>
                <w:lang w:val="en-US"/>
              </w:rPr>
            </w:pPr>
          </w:p>
        </w:tc>
        <w:tc>
          <w:tcPr>
            <w:tcW w:w="1269" w:type="dxa"/>
            <w:shd w:val="clear" w:color="auto" w:fill="auto"/>
          </w:tcPr>
          <w:p w14:paraId="019D1819" w14:textId="55BFAA73" w:rsidR="00605CEF" w:rsidRPr="00605CEF" w:rsidRDefault="00605CEF" w:rsidP="00605CEF">
            <w:pPr>
              <w:jc w:val="right"/>
              <w:rPr>
                <w:rFonts w:cs="Arial"/>
                <w:sz w:val="20"/>
                <w:lang w:val="en-US"/>
              </w:rPr>
            </w:pPr>
            <w:r w:rsidRPr="00605CEF">
              <w:rPr>
                <w:sz w:val="20"/>
              </w:rPr>
              <w:t>1,917,474</w:t>
            </w:r>
          </w:p>
        </w:tc>
        <w:tc>
          <w:tcPr>
            <w:tcW w:w="1393" w:type="dxa"/>
            <w:shd w:val="clear" w:color="auto" w:fill="auto"/>
          </w:tcPr>
          <w:p w14:paraId="02B238F3" w14:textId="1545C48C" w:rsidR="00605CEF" w:rsidRPr="00605CEF" w:rsidRDefault="00605CEF" w:rsidP="00605CEF">
            <w:pPr>
              <w:jc w:val="right"/>
              <w:rPr>
                <w:rFonts w:cs="Arial"/>
                <w:sz w:val="20"/>
                <w:lang w:val="en-US"/>
              </w:rPr>
            </w:pPr>
            <w:r w:rsidRPr="00605CEF">
              <w:rPr>
                <w:sz w:val="20"/>
              </w:rPr>
              <w:t>-7,108,388</w:t>
            </w:r>
          </w:p>
        </w:tc>
      </w:tr>
      <w:tr w:rsidR="00605CEF" w:rsidRPr="00255B51" w14:paraId="18EB326B" w14:textId="77777777" w:rsidTr="008D1198">
        <w:tc>
          <w:tcPr>
            <w:tcW w:w="3539" w:type="dxa"/>
            <w:shd w:val="clear" w:color="auto" w:fill="auto"/>
            <w:vAlign w:val="center"/>
          </w:tcPr>
          <w:p w14:paraId="3DA400A8" w14:textId="5E214E8B" w:rsidR="00605CEF" w:rsidRPr="00255B51" w:rsidRDefault="00605CEF" w:rsidP="00605CEF">
            <w:pPr>
              <w:rPr>
                <w:rFonts w:cs="Arial"/>
                <w:sz w:val="20"/>
                <w:lang w:val="en-US"/>
              </w:rPr>
            </w:pPr>
            <w:r w:rsidRPr="00255B51">
              <w:rPr>
                <w:rFonts w:cs="Arial"/>
                <w:sz w:val="20"/>
              </w:rPr>
              <w:t>Revenue Grant Reserve</w:t>
            </w:r>
          </w:p>
        </w:tc>
        <w:tc>
          <w:tcPr>
            <w:tcW w:w="1364" w:type="dxa"/>
            <w:shd w:val="clear" w:color="auto" w:fill="auto"/>
            <w:vAlign w:val="center"/>
          </w:tcPr>
          <w:p w14:paraId="57BA147A" w14:textId="3C3FCA31" w:rsidR="00605CEF" w:rsidRPr="00255B51" w:rsidRDefault="00605CEF" w:rsidP="00605CEF">
            <w:pPr>
              <w:jc w:val="right"/>
              <w:rPr>
                <w:rFonts w:cs="Arial"/>
                <w:sz w:val="20"/>
                <w:lang w:val="en-US"/>
              </w:rPr>
            </w:pPr>
            <w:r w:rsidRPr="00255B51">
              <w:rPr>
                <w:rFonts w:cs="Arial"/>
                <w:sz w:val="20"/>
              </w:rPr>
              <w:t>-8,823,265</w:t>
            </w:r>
          </w:p>
        </w:tc>
        <w:tc>
          <w:tcPr>
            <w:tcW w:w="1319" w:type="dxa"/>
            <w:shd w:val="clear" w:color="auto" w:fill="auto"/>
          </w:tcPr>
          <w:p w14:paraId="18B07F30" w14:textId="6B9B8142" w:rsidR="00605CEF" w:rsidRPr="00605CEF" w:rsidRDefault="00605CEF" w:rsidP="00605CEF">
            <w:pPr>
              <w:jc w:val="right"/>
              <w:rPr>
                <w:rFonts w:cs="Arial"/>
                <w:sz w:val="20"/>
                <w:lang w:val="en-US"/>
              </w:rPr>
            </w:pPr>
            <w:r w:rsidRPr="00605CEF">
              <w:rPr>
                <w:sz w:val="20"/>
              </w:rPr>
              <w:t>-274,680</w:t>
            </w:r>
          </w:p>
        </w:tc>
        <w:tc>
          <w:tcPr>
            <w:tcW w:w="1317" w:type="dxa"/>
            <w:shd w:val="clear" w:color="auto" w:fill="auto"/>
          </w:tcPr>
          <w:p w14:paraId="460C195F" w14:textId="62F66F01" w:rsidR="00605CEF" w:rsidRPr="00605CEF" w:rsidRDefault="00605CEF" w:rsidP="00605CEF">
            <w:pPr>
              <w:jc w:val="right"/>
              <w:rPr>
                <w:rFonts w:cs="Arial"/>
                <w:sz w:val="20"/>
                <w:lang w:val="en-US"/>
              </w:rPr>
            </w:pPr>
            <w:r w:rsidRPr="00605CEF">
              <w:rPr>
                <w:sz w:val="20"/>
              </w:rPr>
              <w:t>-576,182</w:t>
            </w:r>
          </w:p>
        </w:tc>
        <w:tc>
          <w:tcPr>
            <w:tcW w:w="1269" w:type="dxa"/>
            <w:shd w:val="clear" w:color="auto" w:fill="auto"/>
          </w:tcPr>
          <w:p w14:paraId="59362F8C" w14:textId="54A4BC60" w:rsidR="00605CEF" w:rsidRPr="00605CEF" w:rsidRDefault="00605CEF" w:rsidP="00605CEF">
            <w:pPr>
              <w:jc w:val="right"/>
              <w:rPr>
                <w:rFonts w:cs="Arial"/>
                <w:sz w:val="20"/>
                <w:lang w:val="en-US"/>
              </w:rPr>
            </w:pPr>
            <w:r w:rsidRPr="00605CEF">
              <w:rPr>
                <w:sz w:val="20"/>
              </w:rPr>
              <w:t>3,032,707</w:t>
            </w:r>
          </w:p>
        </w:tc>
        <w:tc>
          <w:tcPr>
            <w:tcW w:w="1393" w:type="dxa"/>
            <w:shd w:val="clear" w:color="auto" w:fill="auto"/>
          </w:tcPr>
          <w:p w14:paraId="0ECAE621" w14:textId="599F690E" w:rsidR="00605CEF" w:rsidRPr="00605CEF" w:rsidRDefault="00605CEF" w:rsidP="00605CEF">
            <w:pPr>
              <w:jc w:val="right"/>
              <w:rPr>
                <w:rFonts w:cs="Arial"/>
                <w:sz w:val="20"/>
                <w:lang w:val="en-US"/>
              </w:rPr>
            </w:pPr>
            <w:r w:rsidRPr="00605CEF">
              <w:rPr>
                <w:sz w:val="20"/>
              </w:rPr>
              <w:t>-6,641,421</w:t>
            </w:r>
          </w:p>
        </w:tc>
      </w:tr>
      <w:tr w:rsidR="00605CEF" w:rsidRPr="00255B51" w14:paraId="29C1AA3F" w14:textId="77777777" w:rsidTr="008D1198">
        <w:tc>
          <w:tcPr>
            <w:tcW w:w="3539" w:type="dxa"/>
            <w:shd w:val="clear" w:color="auto" w:fill="auto"/>
            <w:vAlign w:val="center"/>
          </w:tcPr>
          <w:p w14:paraId="11F9EFB7" w14:textId="3ECF0370" w:rsidR="00605CEF" w:rsidRPr="00255B51" w:rsidRDefault="00605CEF" w:rsidP="00605CEF">
            <w:pPr>
              <w:rPr>
                <w:rFonts w:cs="Arial"/>
                <w:sz w:val="20"/>
                <w:lang w:val="en-US"/>
              </w:rPr>
            </w:pPr>
            <w:r w:rsidRPr="00255B51">
              <w:rPr>
                <w:rFonts w:cs="Arial"/>
                <w:sz w:val="20"/>
              </w:rPr>
              <w:t>Compensatory Added Year Reserve</w:t>
            </w:r>
          </w:p>
        </w:tc>
        <w:tc>
          <w:tcPr>
            <w:tcW w:w="1364" w:type="dxa"/>
            <w:shd w:val="clear" w:color="auto" w:fill="auto"/>
            <w:vAlign w:val="center"/>
          </w:tcPr>
          <w:p w14:paraId="3C6E05D7" w14:textId="763C8361" w:rsidR="00605CEF" w:rsidRPr="00255B51" w:rsidRDefault="00605CEF" w:rsidP="00605CEF">
            <w:pPr>
              <w:jc w:val="right"/>
              <w:rPr>
                <w:rFonts w:cs="Arial"/>
                <w:sz w:val="20"/>
                <w:lang w:val="en-US"/>
              </w:rPr>
            </w:pPr>
            <w:r w:rsidRPr="00255B51">
              <w:rPr>
                <w:rFonts w:cs="Arial"/>
                <w:sz w:val="20"/>
              </w:rPr>
              <w:t>-242,782</w:t>
            </w:r>
          </w:p>
        </w:tc>
        <w:tc>
          <w:tcPr>
            <w:tcW w:w="1319" w:type="dxa"/>
            <w:shd w:val="clear" w:color="auto" w:fill="auto"/>
          </w:tcPr>
          <w:p w14:paraId="63E2D215" w14:textId="538E10F5" w:rsidR="00605CEF" w:rsidRPr="00605CEF" w:rsidRDefault="00605CEF" w:rsidP="00605CEF">
            <w:pPr>
              <w:jc w:val="right"/>
              <w:rPr>
                <w:rFonts w:cs="Arial"/>
                <w:sz w:val="20"/>
                <w:lang w:val="en-US"/>
              </w:rPr>
            </w:pPr>
          </w:p>
        </w:tc>
        <w:tc>
          <w:tcPr>
            <w:tcW w:w="1317" w:type="dxa"/>
            <w:shd w:val="clear" w:color="auto" w:fill="auto"/>
          </w:tcPr>
          <w:p w14:paraId="0FA26CB0" w14:textId="0C2D5CCD" w:rsidR="00605CEF" w:rsidRPr="00605CEF" w:rsidRDefault="00605CEF" w:rsidP="00605CEF">
            <w:pPr>
              <w:jc w:val="right"/>
              <w:rPr>
                <w:rFonts w:cs="Arial"/>
                <w:sz w:val="20"/>
                <w:lang w:val="en-US"/>
              </w:rPr>
            </w:pPr>
          </w:p>
        </w:tc>
        <w:tc>
          <w:tcPr>
            <w:tcW w:w="1269" w:type="dxa"/>
            <w:shd w:val="clear" w:color="auto" w:fill="auto"/>
          </w:tcPr>
          <w:p w14:paraId="6530557B" w14:textId="434DD720" w:rsidR="00605CEF" w:rsidRPr="00605CEF" w:rsidRDefault="00605CEF" w:rsidP="00605CEF">
            <w:pPr>
              <w:jc w:val="right"/>
              <w:rPr>
                <w:rFonts w:cs="Arial"/>
                <w:sz w:val="20"/>
                <w:lang w:val="en-US"/>
              </w:rPr>
            </w:pPr>
          </w:p>
        </w:tc>
        <w:tc>
          <w:tcPr>
            <w:tcW w:w="1393" w:type="dxa"/>
            <w:shd w:val="clear" w:color="auto" w:fill="auto"/>
          </w:tcPr>
          <w:p w14:paraId="0A4C3CB5" w14:textId="46A7F4DF" w:rsidR="00605CEF" w:rsidRPr="00605CEF" w:rsidRDefault="00605CEF" w:rsidP="00605CEF">
            <w:pPr>
              <w:jc w:val="right"/>
              <w:rPr>
                <w:rFonts w:cs="Arial"/>
                <w:sz w:val="20"/>
                <w:lang w:val="en-US"/>
              </w:rPr>
            </w:pPr>
            <w:r w:rsidRPr="00605CEF">
              <w:rPr>
                <w:sz w:val="20"/>
              </w:rPr>
              <w:t>-242,782</w:t>
            </w:r>
          </w:p>
        </w:tc>
      </w:tr>
      <w:tr w:rsidR="00605CEF" w:rsidRPr="00255B51" w14:paraId="31789DE4" w14:textId="77777777" w:rsidTr="008D1198">
        <w:tc>
          <w:tcPr>
            <w:tcW w:w="3539" w:type="dxa"/>
            <w:shd w:val="clear" w:color="auto" w:fill="auto"/>
            <w:vAlign w:val="center"/>
          </w:tcPr>
          <w:p w14:paraId="05ACF919" w14:textId="26C3AA78" w:rsidR="00605CEF" w:rsidRPr="00255B51" w:rsidRDefault="00605CEF" w:rsidP="00605CEF">
            <w:pPr>
              <w:rPr>
                <w:rFonts w:cs="Arial"/>
                <w:sz w:val="20"/>
                <w:lang w:val="en-US"/>
              </w:rPr>
            </w:pPr>
            <w:r w:rsidRPr="00255B51">
              <w:rPr>
                <w:rFonts w:cs="Arial"/>
                <w:sz w:val="20"/>
              </w:rPr>
              <w:t>Business Pool Reserve</w:t>
            </w:r>
          </w:p>
        </w:tc>
        <w:tc>
          <w:tcPr>
            <w:tcW w:w="1364" w:type="dxa"/>
            <w:shd w:val="clear" w:color="auto" w:fill="auto"/>
            <w:vAlign w:val="center"/>
          </w:tcPr>
          <w:p w14:paraId="57DCEF20" w14:textId="0A890851" w:rsidR="00605CEF" w:rsidRPr="00255B51" w:rsidRDefault="00605CEF" w:rsidP="00605CEF">
            <w:pPr>
              <w:jc w:val="right"/>
              <w:rPr>
                <w:rFonts w:cs="Arial"/>
                <w:sz w:val="20"/>
                <w:lang w:val="en-US"/>
              </w:rPr>
            </w:pPr>
            <w:r w:rsidRPr="00255B51">
              <w:rPr>
                <w:rFonts w:cs="Arial"/>
                <w:sz w:val="20"/>
              </w:rPr>
              <w:t>-767,170</w:t>
            </w:r>
          </w:p>
        </w:tc>
        <w:tc>
          <w:tcPr>
            <w:tcW w:w="1319" w:type="dxa"/>
            <w:shd w:val="clear" w:color="auto" w:fill="auto"/>
          </w:tcPr>
          <w:p w14:paraId="51CE7D8F" w14:textId="3469D91E" w:rsidR="00605CEF" w:rsidRPr="00605CEF" w:rsidRDefault="00605CEF" w:rsidP="00605CEF">
            <w:pPr>
              <w:jc w:val="right"/>
              <w:rPr>
                <w:rFonts w:cs="Arial"/>
                <w:sz w:val="20"/>
                <w:lang w:val="en-US"/>
              </w:rPr>
            </w:pPr>
          </w:p>
        </w:tc>
        <w:tc>
          <w:tcPr>
            <w:tcW w:w="1317" w:type="dxa"/>
            <w:shd w:val="clear" w:color="auto" w:fill="auto"/>
          </w:tcPr>
          <w:p w14:paraId="79B3B61B" w14:textId="34C87500" w:rsidR="00605CEF" w:rsidRPr="00605CEF" w:rsidRDefault="00605CEF" w:rsidP="00605CEF">
            <w:pPr>
              <w:jc w:val="right"/>
              <w:rPr>
                <w:rFonts w:cs="Arial"/>
                <w:sz w:val="20"/>
                <w:lang w:val="en-US"/>
              </w:rPr>
            </w:pPr>
            <w:r w:rsidRPr="00605CEF">
              <w:rPr>
                <w:sz w:val="20"/>
              </w:rPr>
              <w:t>767,170</w:t>
            </w:r>
          </w:p>
        </w:tc>
        <w:tc>
          <w:tcPr>
            <w:tcW w:w="1269" w:type="dxa"/>
            <w:shd w:val="clear" w:color="auto" w:fill="auto"/>
          </w:tcPr>
          <w:p w14:paraId="7E5E1DDE" w14:textId="093D4D48" w:rsidR="00605CEF" w:rsidRPr="00605CEF" w:rsidRDefault="00605CEF" w:rsidP="00605CEF">
            <w:pPr>
              <w:jc w:val="right"/>
              <w:rPr>
                <w:rFonts w:cs="Arial"/>
                <w:sz w:val="20"/>
                <w:lang w:val="en-US"/>
              </w:rPr>
            </w:pPr>
          </w:p>
        </w:tc>
        <w:tc>
          <w:tcPr>
            <w:tcW w:w="1393" w:type="dxa"/>
            <w:shd w:val="clear" w:color="auto" w:fill="auto"/>
          </w:tcPr>
          <w:p w14:paraId="7BACDBC9" w14:textId="64B1BC78" w:rsidR="00605CEF" w:rsidRPr="00605CEF" w:rsidRDefault="00605CEF" w:rsidP="00605CEF">
            <w:pPr>
              <w:jc w:val="right"/>
              <w:rPr>
                <w:rFonts w:cs="Arial"/>
                <w:sz w:val="20"/>
                <w:lang w:val="en-US"/>
              </w:rPr>
            </w:pPr>
            <w:r w:rsidRPr="00605CEF">
              <w:rPr>
                <w:sz w:val="20"/>
              </w:rPr>
              <w:t>0</w:t>
            </w:r>
          </w:p>
        </w:tc>
      </w:tr>
      <w:tr w:rsidR="00605CEF" w:rsidRPr="00255B51" w14:paraId="65684817" w14:textId="77777777" w:rsidTr="008D1198">
        <w:tc>
          <w:tcPr>
            <w:tcW w:w="3539" w:type="dxa"/>
            <w:shd w:val="clear" w:color="auto" w:fill="auto"/>
            <w:vAlign w:val="center"/>
          </w:tcPr>
          <w:p w14:paraId="7B4DEEA5" w14:textId="3B6F7BB6" w:rsidR="00605CEF" w:rsidRPr="00255B51" w:rsidRDefault="00605CEF" w:rsidP="00605CEF">
            <w:pPr>
              <w:rPr>
                <w:rFonts w:cs="Arial"/>
                <w:sz w:val="20"/>
                <w:lang w:val="en-US"/>
              </w:rPr>
            </w:pPr>
            <w:r w:rsidRPr="00255B51">
              <w:rPr>
                <w:rFonts w:cs="Arial"/>
                <w:sz w:val="20"/>
              </w:rPr>
              <w:t>PFI Schools Sinking Fund</w:t>
            </w:r>
          </w:p>
        </w:tc>
        <w:tc>
          <w:tcPr>
            <w:tcW w:w="1364" w:type="dxa"/>
            <w:shd w:val="clear" w:color="auto" w:fill="auto"/>
            <w:vAlign w:val="center"/>
          </w:tcPr>
          <w:p w14:paraId="77C92055" w14:textId="4610CA71" w:rsidR="00605CEF" w:rsidRPr="00255B51" w:rsidRDefault="00605CEF" w:rsidP="00605CEF">
            <w:pPr>
              <w:jc w:val="right"/>
              <w:rPr>
                <w:rFonts w:cs="Arial"/>
                <w:sz w:val="20"/>
                <w:lang w:val="en-US"/>
              </w:rPr>
            </w:pPr>
            <w:r w:rsidRPr="00255B51">
              <w:rPr>
                <w:rFonts w:cs="Arial"/>
                <w:sz w:val="20"/>
              </w:rPr>
              <w:t>-2,371,579</w:t>
            </w:r>
          </w:p>
        </w:tc>
        <w:tc>
          <w:tcPr>
            <w:tcW w:w="1319" w:type="dxa"/>
            <w:shd w:val="clear" w:color="auto" w:fill="auto"/>
          </w:tcPr>
          <w:p w14:paraId="79EA4866" w14:textId="199FB371" w:rsidR="00605CEF" w:rsidRPr="00605CEF" w:rsidRDefault="00605CEF" w:rsidP="00605CEF">
            <w:pPr>
              <w:jc w:val="right"/>
              <w:rPr>
                <w:rFonts w:cs="Arial"/>
                <w:sz w:val="20"/>
                <w:lang w:val="en-US"/>
              </w:rPr>
            </w:pPr>
            <w:r w:rsidRPr="00605CEF">
              <w:rPr>
                <w:sz w:val="20"/>
              </w:rPr>
              <w:t>299,903</w:t>
            </w:r>
          </w:p>
        </w:tc>
        <w:tc>
          <w:tcPr>
            <w:tcW w:w="1317" w:type="dxa"/>
            <w:shd w:val="clear" w:color="auto" w:fill="auto"/>
          </w:tcPr>
          <w:p w14:paraId="2BE86412" w14:textId="1EB3A3FC" w:rsidR="00605CEF" w:rsidRPr="00605CEF" w:rsidRDefault="00605CEF" w:rsidP="00605CEF">
            <w:pPr>
              <w:jc w:val="right"/>
              <w:rPr>
                <w:rFonts w:cs="Arial"/>
                <w:sz w:val="20"/>
                <w:lang w:val="en-US"/>
              </w:rPr>
            </w:pPr>
          </w:p>
        </w:tc>
        <w:tc>
          <w:tcPr>
            <w:tcW w:w="1269" w:type="dxa"/>
            <w:shd w:val="clear" w:color="auto" w:fill="auto"/>
          </w:tcPr>
          <w:p w14:paraId="0D53D97D" w14:textId="6CA6BB48" w:rsidR="00605CEF" w:rsidRPr="00605CEF" w:rsidRDefault="00605CEF" w:rsidP="00605CEF">
            <w:pPr>
              <w:jc w:val="right"/>
              <w:rPr>
                <w:rFonts w:cs="Arial"/>
                <w:sz w:val="20"/>
                <w:lang w:val="en-US"/>
              </w:rPr>
            </w:pPr>
          </w:p>
        </w:tc>
        <w:tc>
          <w:tcPr>
            <w:tcW w:w="1393" w:type="dxa"/>
            <w:shd w:val="clear" w:color="auto" w:fill="auto"/>
          </w:tcPr>
          <w:p w14:paraId="64CB46CE" w14:textId="6656D44E" w:rsidR="00605CEF" w:rsidRPr="00605CEF" w:rsidRDefault="00605CEF" w:rsidP="00605CEF">
            <w:pPr>
              <w:jc w:val="right"/>
              <w:rPr>
                <w:rFonts w:cs="Arial"/>
                <w:sz w:val="20"/>
                <w:lang w:val="en-US"/>
              </w:rPr>
            </w:pPr>
            <w:r w:rsidRPr="00605CEF">
              <w:rPr>
                <w:sz w:val="20"/>
              </w:rPr>
              <w:t>-2,071,676</w:t>
            </w:r>
          </w:p>
        </w:tc>
      </w:tr>
      <w:tr w:rsidR="00605CEF" w:rsidRPr="00255B51" w14:paraId="0367AB75" w14:textId="77777777" w:rsidTr="008D1198">
        <w:tc>
          <w:tcPr>
            <w:tcW w:w="3539" w:type="dxa"/>
            <w:shd w:val="clear" w:color="auto" w:fill="auto"/>
            <w:vAlign w:val="center"/>
          </w:tcPr>
          <w:p w14:paraId="6CA292D6" w14:textId="3EE9BED9" w:rsidR="00605CEF" w:rsidRPr="00255B51" w:rsidRDefault="00605CEF" w:rsidP="00605CEF">
            <w:pPr>
              <w:rPr>
                <w:rFonts w:cs="Arial"/>
                <w:sz w:val="20"/>
                <w:lang w:val="en-US"/>
              </w:rPr>
            </w:pPr>
            <w:r w:rsidRPr="00255B51">
              <w:rPr>
                <w:rFonts w:cs="Arial"/>
                <w:sz w:val="20"/>
              </w:rPr>
              <w:t>Public Health Reserve</w:t>
            </w:r>
          </w:p>
        </w:tc>
        <w:tc>
          <w:tcPr>
            <w:tcW w:w="1364" w:type="dxa"/>
            <w:shd w:val="clear" w:color="auto" w:fill="auto"/>
            <w:vAlign w:val="center"/>
          </w:tcPr>
          <w:p w14:paraId="33E81EF1" w14:textId="0D3321AD" w:rsidR="00605CEF" w:rsidRPr="00255B51" w:rsidRDefault="00605CEF" w:rsidP="00605CEF">
            <w:pPr>
              <w:jc w:val="right"/>
              <w:rPr>
                <w:rFonts w:cs="Arial"/>
                <w:sz w:val="20"/>
                <w:lang w:val="en-US"/>
              </w:rPr>
            </w:pPr>
            <w:r w:rsidRPr="00255B51">
              <w:rPr>
                <w:rFonts w:cs="Arial"/>
                <w:sz w:val="20"/>
              </w:rPr>
              <w:t>-2,372,440</w:t>
            </w:r>
          </w:p>
        </w:tc>
        <w:tc>
          <w:tcPr>
            <w:tcW w:w="1319" w:type="dxa"/>
            <w:shd w:val="clear" w:color="auto" w:fill="auto"/>
          </w:tcPr>
          <w:p w14:paraId="6AF7DF7C" w14:textId="3BA81DCD" w:rsidR="00605CEF" w:rsidRPr="00605CEF" w:rsidRDefault="00605CEF" w:rsidP="00605CEF">
            <w:pPr>
              <w:jc w:val="right"/>
              <w:rPr>
                <w:rFonts w:cs="Arial"/>
                <w:sz w:val="20"/>
                <w:lang w:val="en-US"/>
              </w:rPr>
            </w:pPr>
            <w:r w:rsidRPr="00605CEF">
              <w:rPr>
                <w:sz w:val="20"/>
              </w:rPr>
              <w:t>-301,702</w:t>
            </w:r>
          </w:p>
        </w:tc>
        <w:tc>
          <w:tcPr>
            <w:tcW w:w="1317" w:type="dxa"/>
            <w:shd w:val="clear" w:color="auto" w:fill="auto"/>
          </w:tcPr>
          <w:p w14:paraId="42459361" w14:textId="3B8C0B34" w:rsidR="00605CEF" w:rsidRPr="00605CEF" w:rsidRDefault="00605CEF" w:rsidP="00605CEF">
            <w:pPr>
              <w:jc w:val="right"/>
              <w:rPr>
                <w:rFonts w:cs="Arial"/>
                <w:sz w:val="20"/>
                <w:lang w:val="en-US"/>
              </w:rPr>
            </w:pPr>
          </w:p>
        </w:tc>
        <w:tc>
          <w:tcPr>
            <w:tcW w:w="1269" w:type="dxa"/>
            <w:shd w:val="clear" w:color="auto" w:fill="auto"/>
          </w:tcPr>
          <w:p w14:paraId="0233C97B" w14:textId="0696998B" w:rsidR="00605CEF" w:rsidRPr="00605CEF" w:rsidRDefault="00605CEF" w:rsidP="00605CEF">
            <w:pPr>
              <w:jc w:val="right"/>
              <w:rPr>
                <w:rFonts w:cs="Arial"/>
                <w:sz w:val="20"/>
                <w:lang w:val="en-US"/>
              </w:rPr>
            </w:pPr>
          </w:p>
        </w:tc>
        <w:tc>
          <w:tcPr>
            <w:tcW w:w="1393" w:type="dxa"/>
            <w:shd w:val="clear" w:color="auto" w:fill="auto"/>
          </w:tcPr>
          <w:p w14:paraId="17C533FA" w14:textId="7318E891" w:rsidR="00605CEF" w:rsidRPr="00605CEF" w:rsidRDefault="00605CEF" w:rsidP="00605CEF">
            <w:pPr>
              <w:jc w:val="right"/>
              <w:rPr>
                <w:rFonts w:cs="Arial"/>
                <w:sz w:val="20"/>
                <w:lang w:val="en-US"/>
              </w:rPr>
            </w:pPr>
            <w:r w:rsidRPr="00605CEF">
              <w:rPr>
                <w:sz w:val="20"/>
              </w:rPr>
              <w:t>-2,674,142</w:t>
            </w:r>
          </w:p>
        </w:tc>
      </w:tr>
      <w:tr w:rsidR="00605CEF" w:rsidRPr="00255B51" w14:paraId="2E46CBEE" w14:textId="77777777" w:rsidTr="008D1198">
        <w:tc>
          <w:tcPr>
            <w:tcW w:w="3539" w:type="dxa"/>
            <w:shd w:val="clear" w:color="auto" w:fill="auto"/>
            <w:vAlign w:val="center"/>
          </w:tcPr>
          <w:p w14:paraId="3B29635F" w14:textId="284B5A7C" w:rsidR="00605CEF" w:rsidRPr="00255B51" w:rsidRDefault="00605CEF" w:rsidP="00605CEF">
            <w:pPr>
              <w:rPr>
                <w:rFonts w:cs="Arial"/>
                <w:sz w:val="20"/>
                <w:lang w:val="en-US"/>
              </w:rPr>
            </w:pPr>
            <w:r w:rsidRPr="00255B51">
              <w:rPr>
                <w:rFonts w:cs="Arial"/>
                <w:sz w:val="20"/>
              </w:rPr>
              <w:t>PFI NRC Sinking Fund</w:t>
            </w:r>
          </w:p>
        </w:tc>
        <w:tc>
          <w:tcPr>
            <w:tcW w:w="1364" w:type="dxa"/>
            <w:shd w:val="clear" w:color="auto" w:fill="auto"/>
            <w:vAlign w:val="center"/>
          </w:tcPr>
          <w:p w14:paraId="3DD6125F" w14:textId="7D9FAE67" w:rsidR="00605CEF" w:rsidRPr="00255B51" w:rsidRDefault="00605CEF" w:rsidP="00605CEF">
            <w:pPr>
              <w:jc w:val="right"/>
              <w:rPr>
                <w:rFonts w:cs="Arial"/>
                <w:sz w:val="20"/>
                <w:lang w:val="en-US"/>
              </w:rPr>
            </w:pPr>
            <w:r w:rsidRPr="00255B51">
              <w:rPr>
                <w:rFonts w:cs="Arial"/>
                <w:sz w:val="20"/>
              </w:rPr>
              <w:t>-1,751,952</w:t>
            </w:r>
          </w:p>
        </w:tc>
        <w:tc>
          <w:tcPr>
            <w:tcW w:w="1319" w:type="dxa"/>
            <w:shd w:val="clear" w:color="auto" w:fill="auto"/>
          </w:tcPr>
          <w:p w14:paraId="588B9EB3" w14:textId="749DCD2E" w:rsidR="00605CEF" w:rsidRPr="00605CEF" w:rsidRDefault="00605CEF" w:rsidP="00605CEF">
            <w:pPr>
              <w:jc w:val="right"/>
              <w:rPr>
                <w:rFonts w:cs="Arial"/>
                <w:sz w:val="20"/>
                <w:lang w:val="en-US"/>
              </w:rPr>
            </w:pPr>
            <w:r w:rsidRPr="00605CEF">
              <w:rPr>
                <w:sz w:val="20"/>
              </w:rPr>
              <w:t>-71,884</w:t>
            </w:r>
          </w:p>
        </w:tc>
        <w:tc>
          <w:tcPr>
            <w:tcW w:w="1317" w:type="dxa"/>
            <w:shd w:val="clear" w:color="auto" w:fill="auto"/>
          </w:tcPr>
          <w:p w14:paraId="7F543135" w14:textId="64D551D9" w:rsidR="00605CEF" w:rsidRPr="00605CEF" w:rsidRDefault="00605CEF" w:rsidP="00605CEF">
            <w:pPr>
              <w:jc w:val="right"/>
              <w:rPr>
                <w:rFonts w:cs="Arial"/>
                <w:sz w:val="20"/>
                <w:lang w:val="en-US"/>
              </w:rPr>
            </w:pPr>
          </w:p>
        </w:tc>
        <w:tc>
          <w:tcPr>
            <w:tcW w:w="1269" w:type="dxa"/>
            <w:shd w:val="clear" w:color="auto" w:fill="auto"/>
          </w:tcPr>
          <w:p w14:paraId="5BF0CBF1" w14:textId="66B1E0A6" w:rsidR="00605CEF" w:rsidRPr="00605CEF" w:rsidRDefault="00605CEF" w:rsidP="00605CEF">
            <w:pPr>
              <w:jc w:val="right"/>
              <w:rPr>
                <w:rFonts w:cs="Arial"/>
                <w:sz w:val="20"/>
                <w:lang w:val="en-US"/>
              </w:rPr>
            </w:pPr>
          </w:p>
        </w:tc>
        <w:tc>
          <w:tcPr>
            <w:tcW w:w="1393" w:type="dxa"/>
            <w:shd w:val="clear" w:color="auto" w:fill="auto"/>
          </w:tcPr>
          <w:p w14:paraId="3FCCC8F9" w14:textId="2923444F" w:rsidR="00605CEF" w:rsidRPr="00605CEF" w:rsidRDefault="00605CEF" w:rsidP="00605CEF">
            <w:pPr>
              <w:jc w:val="right"/>
              <w:rPr>
                <w:rFonts w:cs="Arial"/>
                <w:sz w:val="20"/>
                <w:lang w:val="en-US"/>
              </w:rPr>
            </w:pPr>
            <w:r w:rsidRPr="00605CEF">
              <w:rPr>
                <w:sz w:val="20"/>
              </w:rPr>
              <w:t>-1,823,836</w:t>
            </w:r>
          </w:p>
        </w:tc>
      </w:tr>
      <w:tr w:rsidR="00605CEF" w:rsidRPr="00255B51" w14:paraId="6670772D" w14:textId="77777777" w:rsidTr="008D1198">
        <w:tc>
          <w:tcPr>
            <w:tcW w:w="3539" w:type="dxa"/>
            <w:shd w:val="clear" w:color="auto" w:fill="auto"/>
            <w:vAlign w:val="center"/>
          </w:tcPr>
          <w:p w14:paraId="6D0A2A46" w14:textId="6DDAFDBE" w:rsidR="00605CEF" w:rsidRPr="00255B51" w:rsidRDefault="00605CEF" w:rsidP="00605CEF">
            <w:pPr>
              <w:rPr>
                <w:rFonts w:cs="Arial"/>
                <w:sz w:val="20"/>
                <w:lang w:val="en-US"/>
              </w:rPr>
            </w:pPr>
            <w:r w:rsidRPr="00255B51">
              <w:rPr>
                <w:rFonts w:cs="Arial"/>
                <w:sz w:val="20"/>
              </w:rPr>
              <w:t>Legal Services Contingency</w:t>
            </w:r>
          </w:p>
        </w:tc>
        <w:tc>
          <w:tcPr>
            <w:tcW w:w="1364" w:type="dxa"/>
            <w:shd w:val="clear" w:color="auto" w:fill="auto"/>
            <w:vAlign w:val="center"/>
          </w:tcPr>
          <w:p w14:paraId="3A049DD7" w14:textId="71F2AD56" w:rsidR="00605CEF" w:rsidRPr="00255B51" w:rsidRDefault="00605CEF" w:rsidP="00605CEF">
            <w:pPr>
              <w:jc w:val="right"/>
              <w:rPr>
                <w:rFonts w:cs="Arial"/>
                <w:sz w:val="20"/>
                <w:lang w:val="en-US"/>
              </w:rPr>
            </w:pPr>
            <w:r w:rsidRPr="00255B51">
              <w:rPr>
                <w:rFonts w:cs="Arial"/>
                <w:sz w:val="20"/>
              </w:rPr>
              <w:t>-949,339</w:t>
            </w:r>
          </w:p>
        </w:tc>
        <w:tc>
          <w:tcPr>
            <w:tcW w:w="1319" w:type="dxa"/>
            <w:shd w:val="clear" w:color="auto" w:fill="auto"/>
          </w:tcPr>
          <w:p w14:paraId="5E2815D9" w14:textId="49004EBC" w:rsidR="00605CEF" w:rsidRPr="00605CEF" w:rsidRDefault="00605CEF" w:rsidP="00605CEF">
            <w:pPr>
              <w:jc w:val="right"/>
              <w:rPr>
                <w:rFonts w:cs="Arial"/>
                <w:sz w:val="20"/>
                <w:lang w:val="en-US"/>
              </w:rPr>
            </w:pPr>
          </w:p>
        </w:tc>
        <w:tc>
          <w:tcPr>
            <w:tcW w:w="1317" w:type="dxa"/>
            <w:shd w:val="clear" w:color="auto" w:fill="auto"/>
          </w:tcPr>
          <w:p w14:paraId="42DB1061" w14:textId="2BD95971" w:rsidR="00605CEF" w:rsidRPr="00605CEF" w:rsidRDefault="00605CEF" w:rsidP="00605CEF">
            <w:pPr>
              <w:jc w:val="right"/>
              <w:rPr>
                <w:rFonts w:cs="Arial"/>
                <w:sz w:val="20"/>
                <w:lang w:val="en-US"/>
              </w:rPr>
            </w:pPr>
          </w:p>
        </w:tc>
        <w:tc>
          <w:tcPr>
            <w:tcW w:w="1269" w:type="dxa"/>
            <w:shd w:val="clear" w:color="auto" w:fill="auto"/>
          </w:tcPr>
          <w:p w14:paraId="69103E50" w14:textId="27B9D74B" w:rsidR="00605CEF" w:rsidRPr="00605CEF" w:rsidRDefault="00605CEF" w:rsidP="00605CEF">
            <w:pPr>
              <w:jc w:val="right"/>
              <w:rPr>
                <w:rFonts w:cs="Arial"/>
                <w:sz w:val="20"/>
                <w:lang w:val="en-US"/>
              </w:rPr>
            </w:pPr>
            <w:r w:rsidRPr="00605CEF">
              <w:rPr>
                <w:sz w:val="20"/>
              </w:rPr>
              <w:t>128,100</w:t>
            </w:r>
          </w:p>
        </w:tc>
        <w:tc>
          <w:tcPr>
            <w:tcW w:w="1393" w:type="dxa"/>
            <w:shd w:val="clear" w:color="auto" w:fill="auto"/>
          </w:tcPr>
          <w:p w14:paraId="2F33848A" w14:textId="501C52FD" w:rsidR="00605CEF" w:rsidRPr="00605CEF" w:rsidRDefault="00605CEF" w:rsidP="00605CEF">
            <w:pPr>
              <w:jc w:val="right"/>
              <w:rPr>
                <w:rFonts w:cs="Arial"/>
                <w:sz w:val="20"/>
                <w:lang w:val="en-US"/>
              </w:rPr>
            </w:pPr>
            <w:r w:rsidRPr="00605CEF">
              <w:rPr>
                <w:sz w:val="20"/>
              </w:rPr>
              <w:t>-821,239</w:t>
            </w:r>
          </w:p>
        </w:tc>
      </w:tr>
      <w:tr w:rsidR="00605CEF" w:rsidRPr="00255B51" w14:paraId="1100F4C2" w14:textId="77777777" w:rsidTr="008D1198">
        <w:tc>
          <w:tcPr>
            <w:tcW w:w="3539" w:type="dxa"/>
            <w:shd w:val="clear" w:color="auto" w:fill="auto"/>
            <w:vAlign w:val="center"/>
          </w:tcPr>
          <w:p w14:paraId="0398D969" w14:textId="054552CB" w:rsidR="00605CEF" w:rsidRPr="00255B51" w:rsidRDefault="00605CEF" w:rsidP="00605CEF">
            <w:pPr>
              <w:rPr>
                <w:rFonts w:cs="Arial"/>
                <w:sz w:val="20"/>
                <w:lang w:val="en-US"/>
              </w:rPr>
            </w:pPr>
            <w:r w:rsidRPr="00255B51">
              <w:rPr>
                <w:rFonts w:cs="Arial"/>
                <w:sz w:val="20"/>
              </w:rPr>
              <w:t>Legal Expansion Reserve</w:t>
            </w:r>
          </w:p>
        </w:tc>
        <w:tc>
          <w:tcPr>
            <w:tcW w:w="1364" w:type="dxa"/>
            <w:shd w:val="clear" w:color="auto" w:fill="auto"/>
            <w:vAlign w:val="center"/>
          </w:tcPr>
          <w:p w14:paraId="19D93F61" w14:textId="05F0A944" w:rsidR="00605CEF" w:rsidRPr="00255B51" w:rsidRDefault="00605CEF" w:rsidP="00605CEF">
            <w:pPr>
              <w:jc w:val="right"/>
              <w:rPr>
                <w:rFonts w:cs="Arial"/>
                <w:sz w:val="20"/>
                <w:lang w:val="en-US"/>
              </w:rPr>
            </w:pPr>
            <w:r w:rsidRPr="00255B51">
              <w:rPr>
                <w:rFonts w:cs="Arial"/>
                <w:sz w:val="20"/>
              </w:rPr>
              <w:t>-377,639</w:t>
            </w:r>
          </w:p>
        </w:tc>
        <w:tc>
          <w:tcPr>
            <w:tcW w:w="1319" w:type="dxa"/>
            <w:shd w:val="clear" w:color="auto" w:fill="auto"/>
          </w:tcPr>
          <w:p w14:paraId="3E61227D" w14:textId="69A88CC6" w:rsidR="00605CEF" w:rsidRPr="00605CEF" w:rsidRDefault="00605CEF" w:rsidP="00605CEF">
            <w:pPr>
              <w:jc w:val="right"/>
              <w:rPr>
                <w:rFonts w:cs="Arial"/>
                <w:sz w:val="20"/>
                <w:lang w:val="en-US"/>
              </w:rPr>
            </w:pPr>
          </w:p>
        </w:tc>
        <w:tc>
          <w:tcPr>
            <w:tcW w:w="1317" w:type="dxa"/>
            <w:shd w:val="clear" w:color="auto" w:fill="auto"/>
          </w:tcPr>
          <w:p w14:paraId="2F74DC5E" w14:textId="022D721B" w:rsidR="00605CEF" w:rsidRPr="00605CEF" w:rsidRDefault="00605CEF" w:rsidP="00605CEF">
            <w:pPr>
              <w:jc w:val="right"/>
              <w:rPr>
                <w:rFonts w:cs="Arial"/>
                <w:sz w:val="20"/>
                <w:lang w:val="en-US"/>
              </w:rPr>
            </w:pPr>
          </w:p>
        </w:tc>
        <w:tc>
          <w:tcPr>
            <w:tcW w:w="1269" w:type="dxa"/>
            <w:shd w:val="clear" w:color="auto" w:fill="auto"/>
          </w:tcPr>
          <w:p w14:paraId="3136DC83" w14:textId="3F95EDB8" w:rsidR="00605CEF" w:rsidRPr="00605CEF" w:rsidRDefault="00605CEF" w:rsidP="00605CEF">
            <w:pPr>
              <w:jc w:val="right"/>
              <w:rPr>
                <w:rFonts w:cs="Arial"/>
                <w:sz w:val="20"/>
                <w:lang w:val="en-US"/>
              </w:rPr>
            </w:pPr>
            <w:r w:rsidRPr="00605CEF">
              <w:rPr>
                <w:sz w:val="20"/>
              </w:rPr>
              <w:t>377,639</w:t>
            </w:r>
          </w:p>
        </w:tc>
        <w:tc>
          <w:tcPr>
            <w:tcW w:w="1393" w:type="dxa"/>
            <w:shd w:val="clear" w:color="auto" w:fill="auto"/>
          </w:tcPr>
          <w:p w14:paraId="20B669AE" w14:textId="65414244" w:rsidR="00605CEF" w:rsidRPr="00605CEF" w:rsidRDefault="00605CEF" w:rsidP="00605CEF">
            <w:pPr>
              <w:jc w:val="right"/>
              <w:rPr>
                <w:rFonts w:cs="Arial"/>
                <w:sz w:val="20"/>
                <w:lang w:val="en-US"/>
              </w:rPr>
            </w:pPr>
            <w:r w:rsidRPr="00605CEF">
              <w:rPr>
                <w:sz w:val="20"/>
              </w:rPr>
              <w:t>0</w:t>
            </w:r>
          </w:p>
        </w:tc>
      </w:tr>
      <w:tr w:rsidR="00605CEF" w:rsidRPr="00255B51" w14:paraId="73F6110E" w14:textId="77777777" w:rsidTr="008D1198">
        <w:tc>
          <w:tcPr>
            <w:tcW w:w="3539" w:type="dxa"/>
            <w:shd w:val="clear" w:color="auto" w:fill="auto"/>
            <w:vAlign w:val="center"/>
          </w:tcPr>
          <w:p w14:paraId="6CBA60F5" w14:textId="4F85F775" w:rsidR="00605CEF" w:rsidRPr="00255B51" w:rsidRDefault="00605CEF" w:rsidP="00605CEF">
            <w:pPr>
              <w:rPr>
                <w:rFonts w:cs="Arial"/>
                <w:sz w:val="20"/>
                <w:lang w:val="en-US"/>
              </w:rPr>
            </w:pPr>
            <w:r w:rsidRPr="00255B51">
              <w:rPr>
                <w:rFonts w:cs="Arial"/>
                <w:sz w:val="20"/>
              </w:rPr>
              <w:t>HRA Transformation Reserve</w:t>
            </w:r>
          </w:p>
        </w:tc>
        <w:tc>
          <w:tcPr>
            <w:tcW w:w="1364" w:type="dxa"/>
            <w:shd w:val="clear" w:color="auto" w:fill="auto"/>
            <w:vAlign w:val="center"/>
          </w:tcPr>
          <w:p w14:paraId="452696D5" w14:textId="7C9A5444" w:rsidR="00605CEF" w:rsidRPr="00255B51" w:rsidRDefault="00605CEF" w:rsidP="00605CEF">
            <w:pPr>
              <w:jc w:val="right"/>
              <w:rPr>
                <w:rFonts w:cs="Arial"/>
                <w:sz w:val="20"/>
                <w:lang w:val="en-US"/>
              </w:rPr>
            </w:pPr>
            <w:r w:rsidRPr="00255B51">
              <w:rPr>
                <w:rFonts w:cs="Arial"/>
                <w:sz w:val="20"/>
              </w:rPr>
              <w:t>-671,551</w:t>
            </w:r>
          </w:p>
        </w:tc>
        <w:tc>
          <w:tcPr>
            <w:tcW w:w="1319" w:type="dxa"/>
            <w:shd w:val="clear" w:color="auto" w:fill="auto"/>
          </w:tcPr>
          <w:p w14:paraId="74753EB8" w14:textId="13981A6D" w:rsidR="00605CEF" w:rsidRPr="00605CEF" w:rsidRDefault="00605CEF" w:rsidP="00605CEF">
            <w:pPr>
              <w:jc w:val="right"/>
              <w:rPr>
                <w:rFonts w:cs="Arial"/>
                <w:sz w:val="20"/>
                <w:lang w:val="en-US"/>
              </w:rPr>
            </w:pPr>
          </w:p>
        </w:tc>
        <w:tc>
          <w:tcPr>
            <w:tcW w:w="1317" w:type="dxa"/>
            <w:shd w:val="clear" w:color="auto" w:fill="auto"/>
          </w:tcPr>
          <w:p w14:paraId="50F414C6" w14:textId="4D3A7468" w:rsidR="00605CEF" w:rsidRPr="00605CEF" w:rsidRDefault="00605CEF" w:rsidP="00605CEF">
            <w:pPr>
              <w:jc w:val="right"/>
              <w:rPr>
                <w:rFonts w:cs="Arial"/>
                <w:sz w:val="20"/>
                <w:lang w:val="en-US"/>
              </w:rPr>
            </w:pPr>
          </w:p>
        </w:tc>
        <w:tc>
          <w:tcPr>
            <w:tcW w:w="1269" w:type="dxa"/>
            <w:shd w:val="clear" w:color="auto" w:fill="auto"/>
          </w:tcPr>
          <w:p w14:paraId="3ECDDA8E" w14:textId="56908515" w:rsidR="00605CEF" w:rsidRPr="00605CEF" w:rsidRDefault="00605CEF" w:rsidP="00605CEF">
            <w:pPr>
              <w:jc w:val="right"/>
              <w:rPr>
                <w:rFonts w:cs="Arial"/>
                <w:sz w:val="20"/>
                <w:lang w:val="en-US"/>
              </w:rPr>
            </w:pPr>
          </w:p>
        </w:tc>
        <w:tc>
          <w:tcPr>
            <w:tcW w:w="1393" w:type="dxa"/>
            <w:shd w:val="clear" w:color="auto" w:fill="auto"/>
          </w:tcPr>
          <w:p w14:paraId="7A463F44" w14:textId="379998ED" w:rsidR="00605CEF" w:rsidRPr="00605CEF" w:rsidRDefault="00605CEF" w:rsidP="00605CEF">
            <w:pPr>
              <w:jc w:val="right"/>
              <w:rPr>
                <w:rFonts w:cs="Arial"/>
                <w:sz w:val="20"/>
                <w:lang w:val="en-US"/>
              </w:rPr>
            </w:pPr>
            <w:r w:rsidRPr="00605CEF">
              <w:rPr>
                <w:sz w:val="20"/>
              </w:rPr>
              <w:t>-671,551</w:t>
            </w:r>
          </w:p>
        </w:tc>
      </w:tr>
      <w:tr w:rsidR="00605CEF" w:rsidRPr="00255B51" w14:paraId="08717F2A" w14:textId="77777777" w:rsidTr="008D1198">
        <w:tc>
          <w:tcPr>
            <w:tcW w:w="3539" w:type="dxa"/>
            <w:shd w:val="clear" w:color="auto" w:fill="auto"/>
            <w:vAlign w:val="center"/>
          </w:tcPr>
          <w:p w14:paraId="41F941F1" w14:textId="617328CE" w:rsidR="00605CEF" w:rsidRPr="00255B51" w:rsidRDefault="00605CEF" w:rsidP="00605CEF">
            <w:pPr>
              <w:rPr>
                <w:rFonts w:cs="Arial"/>
                <w:sz w:val="20"/>
                <w:lang w:val="en-US"/>
              </w:rPr>
            </w:pPr>
            <w:proofErr w:type="spellStart"/>
            <w:r w:rsidRPr="00255B51">
              <w:rPr>
                <w:rFonts w:cs="Arial"/>
                <w:sz w:val="20"/>
              </w:rPr>
              <w:t>Carryforward</w:t>
            </w:r>
            <w:proofErr w:type="spellEnd"/>
            <w:r w:rsidRPr="00255B51">
              <w:rPr>
                <w:rFonts w:cs="Arial"/>
                <w:sz w:val="20"/>
              </w:rPr>
              <w:t xml:space="preserve"> Reserve</w:t>
            </w:r>
          </w:p>
        </w:tc>
        <w:tc>
          <w:tcPr>
            <w:tcW w:w="1364" w:type="dxa"/>
            <w:shd w:val="clear" w:color="auto" w:fill="auto"/>
            <w:vAlign w:val="center"/>
          </w:tcPr>
          <w:p w14:paraId="12639E22" w14:textId="479FA83E" w:rsidR="00605CEF" w:rsidRPr="00255B51" w:rsidRDefault="00605CEF" w:rsidP="00605CEF">
            <w:pPr>
              <w:jc w:val="right"/>
              <w:rPr>
                <w:rFonts w:cs="Arial"/>
                <w:sz w:val="20"/>
                <w:lang w:val="en-US"/>
              </w:rPr>
            </w:pPr>
            <w:r w:rsidRPr="00255B51">
              <w:rPr>
                <w:rFonts w:cs="Arial"/>
                <w:sz w:val="20"/>
              </w:rPr>
              <w:t>-2,041,393</w:t>
            </w:r>
          </w:p>
        </w:tc>
        <w:tc>
          <w:tcPr>
            <w:tcW w:w="1319" w:type="dxa"/>
            <w:shd w:val="clear" w:color="auto" w:fill="auto"/>
          </w:tcPr>
          <w:p w14:paraId="12B64131" w14:textId="1D3EA263" w:rsidR="00605CEF" w:rsidRPr="00605CEF" w:rsidRDefault="00605CEF" w:rsidP="00605CEF">
            <w:pPr>
              <w:jc w:val="right"/>
              <w:rPr>
                <w:rFonts w:cs="Arial"/>
                <w:sz w:val="20"/>
                <w:lang w:val="en-US"/>
              </w:rPr>
            </w:pPr>
            <w:r w:rsidRPr="00605CEF">
              <w:rPr>
                <w:sz w:val="20"/>
              </w:rPr>
              <w:t>-1,330,981</w:t>
            </w:r>
          </w:p>
        </w:tc>
        <w:tc>
          <w:tcPr>
            <w:tcW w:w="1317" w:type="dxa"/>
            <w:shd w:val="clear" w:color="auto" w:fill="auto"/>
          </w:tcPr>
          <w:p w14:paraId="74EFA92C" w14:textId="1FD94E15" w:rsidR="00605CEF" w:rsidRPr="00605CEF" w:rsidRDefault="00605CEF" w:rsidP="00605CEF">
            <w:pPr>
              <w:jc w:val="right"/>
              <w:rPr>
                <w:rFonts w:cs="Arial"/>
                <w:sz w:val="20"/>
                <w:lang w:val="en-US"/>
              </w:rPr>
            </w:pPr>
            <w:r w:rsidRPr="00605CEF">
              <w:rPr>
                <w:sz w:val="20"/>
              </w:rPr>
              <w:t>2,041,393</w:t>
            </w:r>
          </w:p>
        </w:tc>
        <w:tc>
          <w:tcPr>
            <w:tcW w:w="1269" w:type="dxa"/>
            <w:shd w:val="clear" w:color="auto" w:fill="auto"/>
          </w:tcPr>
          <w:p w14:paraId="2939FBEA" w14:textId="6E953E63" w:rsidR="00605CEF" w:rsidRPr="00605CEF" w:rsidRDefault="00605CEF" w:rsidP="00605CEF">
            <w:pPr>
              <w:jc w:val="right"/>
              <w:rPr>
                <w:rFonts w:cs="Arial"/>
                <w:sz w:val="20"/>
                <w:lang w:val="en-US"/>
              </w:rPr>
            </w:pPr>
          </w:p>
        </w:tc>
        <w:tc>
          <w:tcPr>
            <w:tcW w:w="1393" w:type="dxa"/>
            <w:shd w:val="clear" w:color="auto" w:fill="auto"/>
          </w:tcPr>
          <w:p w14:paraId="30820E76" w14:textId="58FED9EB" w:rsidR="00605CEF" w:rsidRPr="00605CEF" w:rsidRDefault="00605CEF" w:rsidP="00605CEF">
            <w:pPr>
              <w:jc w:val="right"/>
              <w:rPr>
                <w:rFonts w:cs="Arial"/>
                <w:sz w:val="20"/>
                <w:lang w:val="en-US"/>
              </w:rPr>
            </w:pPr>
            <w:r w:rsidRPr="00605CEF">
              <w:rPr>
                <w:sz w:val="20"/>
              </w:rPr>
              <w:t>-1,330,981</w:t>
            </w:r>
          </w:p>
        </w:tc>
      </w:tr>
      <w:tr w:rsidR="00605CEF" w:rsidRPr="00255B51" w14:paraId="0546BC93" w14:textId="77777777" w:rsidTr="008D1198">
        <w:tc>
          <w:tcPr>
            <w:tcW w:w="3539" w:type="dxa"/>
            <w:shd w:val="clear" w:color="auto" w:fill="auto"/>
            <w:vAlign w:val="center"/>
          </w:tcPr>
          <w:p w14:paraId="05282DE0" w14:textId="19F156DB" w:rsidR="00605CEF" w:rsidRPr="00255B51" w:rsidRDefault="00605CEF" w:rsidP="00605CEF">
            <w:pPr>
              <w:rPr>
                <w:rFonts w:cs="Arial"/>
                <w:sz w:val="20"/>
                <w:lang w:val="en-US"/>
              </w:rPr>
            </w:pPr>
            <w:r w:rsidRPr="00255B51">
              <w:rPr>
                <w:rFonts w:cs="Arial"/>
                <w:sz w:val="20"/>
              </w:rPr>
              <w:t>Collection Fund Reserve</w:t>
            </w:r>
          </w:p>
        </w:tc>
        <w:tc>
          <w:tcPr>
            <w:tcW w:w="1364" w:type="dxa"/>
            <w:shd w:val="clear" w:color="auto" w:fill="auto"/>
            <w:vAlign w:val="center"/>
          </w:tcPr>
          <w:p w14:paraId="7174A604" w14:textId="53062FF5" w:rsidR="00605CEF" w:rsidRPr="00255B51" w:rsidRDefault="00605CEF" w:rsidP="00605CEF">
            <w:pPr>
              <w:jc w:val="right"/>
              <w:rPr>
                <w:rFonts w:cs="Arial"/>
                <w:sz w:val="20"/>
                <w:lang w:val="en-US"/>
              </w:rPr>
            </w:pPr>
            <w:r w:rsidRPr="00255B51">
              <w:rPr>
                <w:rFonts w:cs="Arial"/>
                <w:sz w:val="20"/>
              </w:rPr>
              <w:t>-8,924,753</w:t>
            </w:r>
          </w:p>
        </w:tc>
        <w:tc>
          <w:tcPr>
            <w:tcW w:w="1319" w:type="dxa"/>
            <w:shd w:val="clear" w:color="auto" w:fill="auto"/>
          </w:tcPr>
          <w:p w14:paraId="2311D7C6" w14:textId="43FAE84F" w:rsidR="00605CEF" w:rsidRPr="00605CEF" w:rsidRDefault="00605CEF" w:rsidP="00605CEF">
            <w:pPr>
              <w:jc w:val="right"/>
              <w:rPr>
                <w:rFonts w:cs="Arial"/>
                <w:sz w:val="20"/>
                <w:lang w:val="en-US"/>
              </w:rPr>
            </w:pPr>
          </w:p>
        </w:tc>
        <w:tc>
          <w:tcPr>
            <w:tcW w:w="1317" w:type="dxa"/>
            <w:shd w:val="clear" w:color="auto" w:fill="auto"/>
          </w:tcPr>
          <w:p w14:paraId="7E8F8531" w14:textId="51C6C036" w:rsidR="00605CEF" w:rsidRPr="00605CEF" w:rsidRDefault="00605CEF" w:rsidP="00605CEF">
            <w:pPr>
              <w:jc w:val="right"/>
              <w:rPr>
                <w:rFonts w:cs="Arial"/>
                <w:sz w:val="20"/>
                <w:lang w:val="en-US"/>
              </w:rPr>
            </w:pPr>
            <w:r w:rsidRPr="00605CEF">
              <w:rPr>
                <w:sz w:val="20"/>
              </w:rPr>
              <w:t>4,290,008</w:t>
            </w:r>
          </w:p>
        </w:tc>
        <w:tc>
          <w:tcPr>
            <w:tcW w:w="1269" w:type="dxa"/>
            <w:shd w:val="clear" w:color="auto" w:fill="auto"/>
          </w:tcPr>
          <w:p w14:paraId="62F5A6D4" w14:textId="50C8B055" w:rsidR="00605CEF" w:rsidRPr="00605CEF" w:rsidRDefault="00605CEF" w:rsidP="00605CEF">
            <w:pPr>
              <w:jc w:val="right"/>
              <w:rPr>
                <w:rFonts w:cs="Arial"/>
                <w:sz w:val="20"/>
                <w:lang w:val="en-US"/>
              </w:rPr>
            </w:pPr>
          </w:p>
        </w:tc>
        <w:tc>
          <w:tcPr>
            <w:tcW w:w="1393" w:type="dxa"/>
            <w:shd w:val="clear" w:color="auto" w:fill="auto"/>
          </w:tcPr>
          <w:p w14:paraId="050E00F0" w14:textId="27960E61" w:rsidR="00605CEF" w:rsidRPr="00605CEF" w:rsidRDefault="00605CEF" w:rsidP="00605CEF">
            <w:pPr>
              <w:jc w:val="right"/>
              <w:rPr>
                <w:rFonts w:cs="Arial"/>
                <w:sz w:val="20"/>
                <w:lang w:val="en-US"/>
              </w:rPr>
            </w:pPr>
            <w:r w:rsidRPr="00605CEF">
              <w:rPr>
                <w:sz w:val="20"/>
              </w:rPr>
              <w:t>-4,634,745</w:t>
            </w:r>
          </w:p>
        </w:tc>
      </w:tr>
      <w:tr w:rsidR="00605CEF" w:rsidRPr="00255B51" w14:paraId="3A0913F9" w14:textId="77777777" w:rsidTr="008D1198">
        <w:tc>
          <w:tcPr>
            <w:tcW w:w="3539" w:type="dxa"/>
            <w:shd w:val="clear" w:color="auto" w:fill="auto"/>
            <w:vAlign w:val="center"/>
          </w:tcPr>
          <w:p w14:paraId="05BD0E86" w14:textId="013DF829" w:rsidR="00605CEF" w:rsidRPr="00255B51" w:rsidRDefault="00605CEF" w:rsidP="00605CEF">
            <w:pPr>
              <w:rPr>
                <w:rFonts w:cs="Arial"/>
                <w:sz w:val="20"/>
                <w:lang w:val="en-US"/>
              </w:rPr>
            </w:pPr>
            <w:r w:rsidRPr="00255B51">
              <w:rPr>
                <w:rFonts w:cs="Arial"/>
                <w:sz w:val="20"/>
              </w:rPr>
              <w:t xml:space="preserve">Equalities Diversity &amp; Inclusion </w:t>
            </w:r>
          </w:p>
        </w:tc>
        <w:tc>
          <w:tcPr>
            <w:tcW w:w="1364" w:type="dxa"/>
            <w:shd w:val="clear" w:color="auto" w:fill="auto"/>
            <w:vAlign w:val="center"/>
          </w:tcPr>
          <w:p w14:paraId="40E2EA38" w14:textId="2F6AB740" w:rsidR="00605CEF" w:rsidRPr="00255B51" w:rsidRDefault="00605CEF" w:rsidP="00605CEF">
            <w:pPr>
              <w:jc w:val="right"/>
              <w:rPr>
                <w:rFonts w:cs="Arial"/>
                <w:sz w:val="20"/>
                <w:lang w:val="en-US"/>
              </w:rPr>
            </w:pPr>
            <w:r w:rsidRPr="00255B51">
              <w:rPr>
                <w:rFonts w:cs="Arial"/>
                <w:sz w:val="20"/>
              </w:rPr>
              <w:t>-250,000</w:t>
            </w:r>
          </w:p>
        </w:tc>
        <w:tc>
          <w:tcPr>
            <w:tcW w:w="1319" w:type="dxa"/>
            <w:shd w:val="clear" w:color="auto" w:fill="auto"/>
          </w:tcPr>
          <w:p w14:paraId="5C404161" w14:textId="5146A3AF" w:rsidR="00605CEF" w:rsidRPr="00605CEF" w:rsidRDefault="00605CEF" w:rsidP="00605CEF">
            <w:pPr>
              <w:jc w:val="right"/>
              <w:rPr>
                <w:rFonts w:cs="Arial"/>
                <w:sz w:val="20"/>
                <w:lang w:val="en-US"/>
              </w:rPr>
            </w:pPr>
            <w:r w:rsidRPr="00605CEF">
              <w:rPr>
                <w:sz w:val="20"/>
              </w:rPr>
              <w:t>92,727</w:t>
            </w:r>
          </w:p>
        </w:tc>
        <w:tc>
          <w:tcPr>
            <w:tcW w:w="1317" w:type="dxa"/>
            <w:shd w:val="clear" w:color="auto" w:fill="auto"/>
          </w:tcPr>
          <w:p w14:paraId="28191AAE" w14:textId="1E023EBA" w:rsidR="00605CEF" w:rsidRPr="00605CEF" w:rsidRDefault="00605CEF" w:rsidP="00605CEF">
            <w:pPr>
              <w:jc w:val="right"/>
              <w:rPr>
                <w:rFonts w:cs="Arial"/>
                <w:sz w:val="20"/>
                <w:lang w:val="en-US"/>
              </w:rPr>
            </w:pPr>
          </w:p>
        </w:tc>
        <w:tc>
          <w:tcPr>
            <w:tcW w:w="1269" w:type="dxa"/>
            <w:shd w:val="clear" w:color="auto" w:fill="auto"/>
          </w:tcPr>
          <w:p w14:paraId="66214306" w14:textId="572D2A5A" w:rsidR="00605CEF" w:rsidRPr="00605CEF" w:rsidRDefault="00605CEF" w:rsidP="00605CEF">
            <w:pPr>
              <w:jc w:val="right"/>
              <w:rPr>
                <w:rFonts w:cs="Arial"/>
                <w:sz w:val="20"/>
                <w:lang w:val="en-US"/>
              </w:rPr>
            </w:pPr>
          </w:p>
        </w:tc>
        <w:tc>
          <w:tcPr>
            <w:tcW w:w="1393" w:type="dxa"/>
            <w:shd w:val="clear" w:color="auto" w:fill="auto"/>
          </w:tcPr>
          <w:p w14:paraId="251537C4" w14:textId="0138A00B" w:rsidR="00605CEF" w:rsidRPr="00605CEF" w:rsidRDefault="00605CEF" w:rsidP="00605CEF">
            <w:pPr>
              <w:jc w:val="right"/>
              <w:rPr>
                <w:rFonts w:cs="Arial"/>
                <w:sz w:val="20"/>
                <w:lang w:val="en-US"/>
              </w:rPr>
            </w:pPr>
            <w:r w:rsidRPr="00605CEF">
              <w:rPr>
                <w:sz w:val="20"/>
              </w:rPr>
              <w:t>-157,273</w:t>
            </w:r>
          </w:p>
        </w:tc>
      </w:tr>
      <w:tr w:rsidR="00605CEF" w:rsidRPr="00255B51" w14:paraId="3E0BBC4C" w14:textId="77777777" w:rsidTr="008D1198">
        <w:tc>
          <w:tcPr>
            <w:tcW w:w="3539" w:type="dxa"/>
            <w:shd w:val="clear" w:color="auto" w:fill="auto"/>
            <w:vAlign w:val="center"/>
          </w:tcPr>
          <w:p w14:paraId="09501306" w14:textId="747D7D57" w:rsidR="00605CEF" w:rsidRPr="00255B51" w:rsidRDefault="00605CEF" w:rsidP="00605CEF">
            <w:pPr>
              <w:rPr>
                <w:rFonts w:cs="Arial"/>
                <w:sz w:val="20"/>
                <w:lang w:val="en-US"/>
              </w:rPr>
            </w:pPr>
            <w:r w:rsidRPr="00255B51">
              <w:rPr>
                <w:rFonts w:cs="Arial"/>
                <w:sz w:val="20"/>
              </w:rPr>
              <w:t>London Living Wage Reserve</w:t>
            </w:r>
          </w:p>
        </w:tc>
        <w:tc>
          <w:tcPr>
            <w:tcW w:w="1364" w:type="dxa"/>
            <w:shd w:val="clear" w:color="auto" w:fill="auto"/>
            <w:vAlign w:val="center"/>
          </w:tcPr>
          <w:p w14:paraId="5FF67F4E" w14:textId="2C04E5A6" w:rsidR="00605CEF" w:rsidRPr="00255B51" w:rsidRDefault="00605CEF" w:rsidP="00605CEF">
            <w:pPr>
              <w:jc w:val="right"/>
              <w:rPr>
                <w:rFonts w:cs="Arial"/>
                <w:sz w:val="20"/>
                <w:lang w:val="en-US"/>
              </w:rPr>
            </w:pPr>
            <w:r w:rsidRPr="00255B51">
              <w:rPr>
                <w:rFonts w:cs="Arial"/>
                <w:sz w:val="20"/>
              </w:rPr>
              <w:t>-250,000</w:t>
            </w:r>
          </w:p>
        </w:tc>
        <w:tc>
          <w:tcPr>
            <w:tcW w:w="1319" w:type="dxa"/>
            <w:shd w:val="clear" w:color="auto" w:fill="auto"/>
          </w:tcPr>
          <w:p w14:paraId="0E7EC109" w14:textId="746077AC" w:rsidR="00605CEF" w:rsidRPr="00605CEF" w:rsidRDefault="00605CEF" w:rsidP="00605CEF">
            <w:pPr>
              <w:jc w:val="right"/>
              <w:rPr>
                <w:rFonts w:cs="Arial"/>
                <w:sz w:val="20"/>
                <w:lang w:val="en-US"/>
              </w:rPr>
            </w:pPr>
          </w:p>
        </w:tc>
        <w:tc>
          <w:tcPr>
            <w:tcW w:w="1317" w:type="dxa"/>
            <w:shd w:val="clear" w:color="auto" w:fill="auto"/>
          </w:tcPr>
          <w:p w14:paraId="2FC026C0" w14:textId="33DBEBBC" w:rsidR="00605CEF" w:rsidRPr="00605CEF" w:rsidRDefault="00605CEF" w:rsidP="00605CEF">
            <w:pPr>
              <w:jc w:val="right"/>
              <w:rPr>
                <w:rFonts w:cs="Arial"/>
                <w:sz w:val="20"/>
                <w:lang w:val="en-US"/>
              </w:rPr>
            </w:pPr>
          </w:p>
        </w:tc>
        <w:tc>
          <w:tcPr>
            <w:tcW w:w="1269" w:type="dxa"/>
            <w:shd w:val="clear" w:color="auto" w:fill="auto"/>
          </w:tcPr>
          <w:p w14:paraId="799B5B3A" w14:textId="78444A2D" w:rsidR="00605CEF" w:rsidRPr="00605CEF" w:rsidRDefault="00605CEF" w:rsidP="00605CEF">
            <w:pPr>
              <w:jc w:val="right"/>
              <w:rPr>
                <w:rFonts w:cs="Arial"/>
                <w:sz w:val="20"/>
                <w:lang w:val="en-US"/>
              </w:rPr>
            </w:pPr>
            <w:r w:rsidRPr="00605CEF">
              <w:rPr>
                <w:sz w:val="20"/>
              </w:rPr>
              <w:t>250,000</w:t>
            </w:r>
          </w:p>
        </w:tc>
        <w:tc>
          <w:tcPr>
            <w:tcW w:w="1393" w:type="dxa"/>
            <w:shd w:val="clear" w:color="auto" w:fill="auto"/>
          </w:tcPr>
          <w:p w14:paraId="5807CB36" w14:textId="6F713F91" w:rsidR="00605CEF" w:rsidRPr="00605CEF" w:rsidRDefault="00605CEF" w:rsidP="00605CEF">
            <w:pPr>
              <w:jc w:val="right"/>
              <w:rPr>
                <w:rFonts w:cs="Arial"/>
                <w:sz w:val="20"/>
                <w:lang w:val="en-US"/>
              </w:rPr>
            </w:pPr>
            <w:r w:rsidRPr="00605CEF">
              <w:rPr>
                <w:sz w:val="20"/>
              </w:rPr>
              <w:t>0</w:t>
            </w:r>
          </w:p>
        </w:tc>
      </w:tr>
      <w:tr w:rsidR="00605CEF" w:rsidRPr="00255B51" w14:paraId="57867BDA" w14:textId="77777777" w:rsidTr="008D1198">
        <w:tc>
          <w:tcPr>
            <w:tcW w:w="3539" w:type="dxa"/>
            <w:shd w:val="clear" w:color="auto" w:fill="auto"/>
            <w:vAlign w:val="center"/>
          </w:tcPr>
          <w:p w14:paraId="634375BE" w14:textId="0D3E6300" w:rsidR="00605CEF" w:rsidRPr="00255B51" w:rsidRDefault="00605CEF" w:rsidP="00605CEF">
            <w:pPr>
              <w:rPr>
                <w:rFonts w:cs="Arial"/>
                <w:sz w:val="20"/>
                <w:lang w:val="en-US"/>
              </w:rPr>
            </w:pPr>
            <w:r w:rsidRPr="00255B51">
              <w:rPr>
                <w:rFonts w:cs="Arial"/>
                <w:sz w:val="20"/>
              </w:rPr>
              <w:t>Capital Feasibilities Reserve</w:t>
            </w:r>
          </w:p>
        </w:tc>
        <w:tc>
          <w:tcPr>
            <w:tcW w:w="1364" w:type="dxa"/>
            <w:shd w:val="clear" w:color="auto" w:fill="auto"/>
            <w:vAlign w:val="center"/>
          </w:tcPr>
          <w:p w14:paraId="2E08D477" w14:textId="52EACB26" w:rsidR="00605CEF" w:rsidRPr="00255B51" w:rsidRDefault="00605CEF" w:rsidP="00605CEF">
            <w:pPr>
              <w:jc w:val="right"/>
              <w:rPr>
                <w:rFonts w:cs="Arial"/>
                <w:sz w:val="20"/>
                <w:lang w:val="en-US"/>
              </w:rPr>
            </w:pPr>
            <w:r w:rsidRPr="00255B51">
              <w:rPr>
                <w:rFonts w:cs="Arial"/>
                <w:sz w:val="20"/>
              </w:rPr>
              <w:t>-500,000</w:t>
            </w:r>
          </w:p>
        </w:tc>
        <w:tc>
          <w:tcPr>
            <w:tcW w:w="1319" w:type="dxa"/>
            <w:shd w:val="clear" w:color="auto" w:fill="auto"/>
          </w:tcPr>
          <w:p w14:paraId="23CB95ED" w14:textId="66A0A020" w:rsidR="00605CEF" w:rsidRPr="00605CEF" w:rsidRDefault="00605CEF" w:rsidP="00605CEF">
            <w:pPr>
              <w:jc w:val="right"/>
              <w:rPr>
                <w:rFonts w:cs="Arial"/>
                <w:sz w:val="20"/>
                <w:lang w:val="en-US"/>
              </w:rPr>
            </w:pPr>
          </w:p>
        </w:tc>
        <w:tc>
          <w:tcPr>
            <w:tcW w:w="1317" w:type="dxa"/>
            <w:shd w:val="clear" w:color="auto" w:fill="auto"/>
          </w:tcPr>
          <w:p w14:paraId="54435D85" w14:textId="3B2BCE9B" w:rsidR="00605CEF" w:rsidRPr="00605CEF" w:rsidRDefault="00605CEF" w:rsidP="00605CEF">
            <w:pPr>
              <w:jc w:val="right"/>
              <w:rPr>
                <w:rFonts w:cs="Arial"/>
                <w:sz w:val="20"/>
                <w:lang w:val="en-US"/>
              </w:rPr>
            </w:pPr>
          </w:p>
        </w:tc>
        <w:tc>
          <w:tcPr>
            <w:tcW w:w="1269" w:type="dxa"/>
            <w:shd w:val="clear" w:color="auto" w:fill="auto"/>
          </w:tcPr>
          <w:p w14:paraId="3767888A" w14:textId="1AA1E821" w:rsidR="00605CEF" w:rsidRPr="00605CEF" w:rsidRDefault="00605CEF" w:rsidP="00605CEF">
            <w:pPr>
              <w:jc w:val="right"/>
              <w:rPr>
                <w:rFonts w:cs="Arial"/>
                <w:sz w:val="20"/>
                <w:lang w:val="en-US"/>
              </w:rPr>
            </w:pPr>
          </w:p>
        </w:tc>
        <w:tc>
          <w:tcPr>
            <w:tcW w:w="1393" w:type="dxa"/>
            <w:shd w:val="clear" w:color="auto" w:fill="auto"/>
          </w:tcPr>
          <w:p w14:paraId="19EDEC14" w14:textId="17C047AA" w:rsidR="00605CEF" w:rsidRPr="00605CEF" w:rsidRDefault="00605CEF" w:rsidP="00605CEF">
            <w:pPr>
              <w:jc w:val="right"/>
              <w:rPr>
                <w:rFonts w:cs="Arial"/>
                <w:sz w:val="20"/>
                <w:lang w:val="en-US"/>
              </w:rPr>
            </w:pPr>
            <w:r w:rsidRPr="00605CEF">
              <w:rPr>
                <w:sz w:val="20"/>
              </w:rPr>
              <w:t>-500,000</w:t>
            </w:r>
          </w:p>
        </w:tc>
      </w:tr>
      <w:tr w:rsidR="00605CEF" w:rsidRPr="00255B51" w14:paraId="244D92D5" w14:textId="77777777" w:rsidTr="008D1198">
        <w:tc>
          <w:tcPr>
            <w:tcW w:w="3539" w:type="dxa"/>
            <w:shd w:val="clear" w:color="auto" w:fill="auto"/>
            <w:vAlign w:val="center"/>
          </w:tcPr>
          <w:p w14:paraId="5D4A4A10" w14:textId="2D68BC29" w:rsidR="00605CEF" w:rsidRPr="00255B51" w:rsidRDefault="00605CEF" w:rsidP="00605CEF">
            <w:pPr>
              <w:rPr>
                <w:rFonts w:cs="Arial"/>
                <w:sz w:val="20"/>
                <w:lang w:val="en-US"/>
              </w:rPr>
            </w:pPr>
            <w:proofErr w:type="spellStart"/>
            <w:r w:rsidRPr="00255B51">
              <w:rPr>
                <w:rFonts w:cs="Arial"/>
                <w:sz w:val="20"/>
              </w:rPr>
              <w:t>Accomodation</w:t>
            </w:r>
            <w:proofErr w:type="spellEnd"/>
            <w:r w:rsidRPr="00255B51">
              <w:rPr>
                <w:rFonts w:cs="Arial"/>
                <w:sz w:val="20"/>
              </w:rPr>
              <w:t xml:space="preserve"> Strategy Reserve</w:t>
            </w:r>
          </w:p>
        </w:tc>
        <w:tc>
          <w:tcPr>
            <w:tcW w:w="1364" w:type="dxa"/>
            <w:shd w:val="clear" w:color="auto" w:fill="auto"/>
            <w:vAlign w:val="center"/>
          </w:tcPr>
          <w:p w14:paraId="060828EC" w14:textId="14805357" w:rsidR="00605CEF" w:rsidRPr="00255B51" w:rsidRDefault="00605CEF" w:rsidP="00605CEF">
            <w:pPr>
              <w:jc w:val="right"/>
              <w:rPr>
                <w:rFonts w:cs="Arial"/>
                <w:sz w:val="20"/>
                <w:lang w:val="en-US"/>
              </w:rPr>
            </w:pPr>
            <w:r w:rsidRPr="00255B51">
              <w:rPr>
                <w:rFonts w:cs="Arial"/>
                <w:sz w:val="20"/>
              </w:rPr>
              <w:t>-725,000</w:t>
            </w:r>
          </w:p>
        </w:tc>
        <w:tc>
          <w:tcPr>
            <w:tcW w:w="1319" w:type="dxa"/>
            <w:shd w:val="clear" w:color="auto" w:fill="auto"/>
          </w:tcPr>
          <w:p w14:paraId="0216A8CD" w14:textId="468A08DE" w:rsidR="00605CEF" w:rsidRPr="00605CEF" w:rsidRDefault="00605CEF" w:rsidP="00605CEF">
            <w:pPr>
              <w:jc w:val="right"/>
              <w:rPr>
                <w:rFonts w:cs="Arial"/>
                <w:sz w:val="20"/>
                <w:lang w:val="en-US"/>
              </w:rPr>
            </w:pPr>
          </w:p>
        </w:tc>
        <w:tc>
          <w:tcPr>
            <w:tcW w:w="1317" w:type="dxa"/>
            <w:shd w:val="clear" w:color="auto" w:fill="auto"/>
          </w:tcPr>
          <w:p w14:paraId="3A566364" w14:textId="38830AC2" w:rsidR="00605CEF" w:rsidRPr="00605CEF" w:rsidRDefault="00605CEF" w:rsidP="00605CEF">
            <w:pPr>
              <w:jc w:val="right"/>
              <w:rPr>
                <w:rFonts w:cs="Arial"/>
                <w:sz w:val="20"/>
                <w:lang w:val="en-US"/>
              </w:rPr>
            </w:pPr>
          </w:p>
        </w:tc>
        <w:tc>
          <w:tcPr>
            <w:tcW w:w="1269" w:type="dxa"/>
            <w:shd w:val="clear" w:color="auto" w:fill="auto"/>
          </w:tcPr>
          <w:p w14:paraId="1F2FBF89" w14:textId="466F81C9" w:rsidR="00605CEF" w:rsidRPr="00605CEF" w:rsidRDefault="00605CEF" w:rsidP="00605CEF">
            <w:pPr>
              <w:jc w:val="right"/>
              <w:rPr>
                <w:rFonts w:cs="Arial"/>
                <w:sz w:val="20"/>
                <w:lang w:val="en-US"/>
              </w:rPr>
            </w:pPr>
            <w:r w:rsidRPr="00605CEF">
              <w:rPr>
                <w:sz w:val="20"/>
              </w:rPr>
              <w:t>73,000</w:t>
            </w:r>
          </w:p>
        </w:tc>
        <w:tc>
          <w:tcPr>
            <w:tcW w:w="1393" w:type="dxa"/>
            <w:shd w:val="clear" w:color="auto" w:fill="auto"/>
          </w:tcPr>
          <w:p w14:paraId="05D3AAD6" w14:textId="3AD8D9C8" w:rsidR="00605CEF" w:rsidRPr="00605CEF" w:rsidRDefault="00605CEF" w:rsidP="00605CEF">
            <w:pPr>
              <w:jc w:val="right"/>
              <w:rPr>
                <w:rFonts w:cs="Arial"/>
                <w:sz w:val="20"/>
                <w:lang w:val="en-US"/>
              </w:rPr>
            </w:pPr>
            <w:r w:rsidRPr="00605CEF">
              <w:rPr>
                <w:sz w:val="20"/>
              </w:rPr>
              <w:t>-652,000</w:t>
            </w:r>
          </w:p>
        </w:tc>
      </w:tr>
      <w:tr w:rsidR="00605CEF" w:rsidRPr="00255B51" w14:paraId="47844015" w14:textId="77777777" w:rsidTr="008D1198">
        <w:tc>
          <w:tcPr>
            <w:tcW w:w="3539" w:type="dxa"/>
            <w:shd w:val="clear" w:color="auto" w:fill="auto"/>
            <w:vAlign w:val="center"/>
          </w:tcPr>
          <w:p w14:paraId="4F06CCF8" w14:textId="26073D79" w:rsidR="00605CEF" w:rsidRPr="00255B51" w:rsidRDefault="00605CEF" w:rsidP="00605CEF">
            <w:pPr>
              <w:rPr>
                <w:rFonts w:cs="Arial"/>
                <w:sz w:val="20"/>
                <w:lang w:val="en-US"/>
              </w:rPr>
            </w:pPr>
            <w:r w:rsidRPr="00255B51">
              <w:rPr>
                <w:rFonts w:cs="Arial"/>
                <w:sz w:val="20"/>
              </w:rPr>
              <w:t>Adults Social Care Reserve</w:t>
            </w:r>
          </w:p>
        </w:tc>
        <w:tc>
          <w:tcPr>
            <w:tcW w:w="1364" w:type="dxa"/>
            <w:shd w:val="clear" w:color="auto" w:fill="auto"/>
            <w:vAlign w:val="center"/>
          </w:tcPr>
          <w:p w14:paraId="52F22CE5" w14:textId="1A09DE9D" w:rsidR="00605CEF" w:rsidRPr="00255B51" w:rsidRDefault="00605CEF" w:rsidP="00605CEF">
            <w:pPr>
              <w:jc w:val="right"/>
              <w:rPr>
                <w:rFonts w:cs="Arial"/>
                <w:sz w:val="20"/>
                <w:lang w:val="en-US"/>
              </w:rPr>
            </w:pPr>
            <w:r w:rsidRPr="00255B51">
              <w:rPr>
                <w:rFonts w:cs="Arial"/>
                <w:sz w:val="20"/>
              </w:rPr>
              <w:t>-1,969,475</w:t>
            </w:r>
          </w:p>
        </w:tc>
        <w:tc>
          <w:tcPr>
            <w:tcW w:w="1319" w:type="dxa"/>
            <w:shd w:val="clear" w:color="auto" w:fill="auto"/>
          </w:tcPr>
          <w:p w14:paraId="2FB12F20" w14:textId="08740343" w:rsidR="00605CEF" w:rsidRPr="00605CEF" w:rsidRDefault="00605CEF" w:rsidP="00605CEF">
            <w:pPr>
              <w:jc w:val="right"/>
              <w:rPr>
                <w:rFonts w:cs="Arial"/>
                <w:sz w:val="20"/>
                <w:lang w:val="en-US"/>
              </w:rPr>
            </w:pPr>
            <w:r w:rsidRPr="00605CEF">
              <w:rPr>
                <w:sz w:val="20"/>
              </w:rPr>
              <w:t>-1,300,000</w:t>
            </w:r>
          </w:p>
        </w:tc>
        <w:tc>
          <w:tcPr>
            <w:tcW w:w="1317" w:type="dxa"/>
            <w:shd w:val="clear" w:color="auto" w:fill="auto"/>
          </w:tcPr>
          <w:p w14:paraId="3B69A19D" w14:textId="570F7B83" w:rsidR="00605CEF" w:rsidRPr="00605CEF" w:rsidRDefault="00605CEF" w:rsidP="00605CEF">
            <w:pPr>
              <w:jc w:val="right"/>
              <w:rPr>
                <w:rFonts w:cs="Arial"/>
                <w:sz w:val="20"/>
                <w:lang w:val="en-US"/>
              </w:rPr>
            </w:pPr>
            <w:r w:rsidRPr="00605CEF">
              <w:rPr>
                <w:sz w:val="20"/>
              </w:rPr>
              <w:t>-500,000</w:t>
            </w:r>
          </w:p>
        </w:tc>
        <w:tc>
          <w:tcPr>
            <w:tcW w:w="1269" w:type="dxa"/>
            <w:shd w:val="clear" w:color="auto" w:fill="auto"/>
          </w:tcPr>
          <w:p w14:paraId="5E69C658" w14:textId="08023ED0" w:rsidR="00605CEF" w:rsidRPr="00605CEF" w:rsidRDefault="00605CEF" w:rsidP="00605CEF">
            <w:pPr>
              <w:jc w:val="right"/>
              <w:rPr>
                <w:rFonts w:cs="Arial"/>
                <w:sz w:val="20"/>
                <w:lang w:val="en-US"/>
              </w:rPr>
            </w:pPr>
          </w:p>
        </w:tc>
        <w:tc>
          <w:tcPr>
            <w:tcW w:w="1393" w:type="dxa"/>
            <w:shd w:val="clear" w:color="auto" w:fill="auto"/>
          </w:tcPr>
          <w:p w14:paraId="1AEB14A8" w14:textId="31BD9581" w:rsidR="00605CEF" w:rsidRPr="00605CEF" w:rsidRDefault="00605CEF" w:rsidP="00605CEF">
            <w:pPr>
              <w:jc w:val="right"/>
              <w:rPr>
                <w:rFonts w:cs="Arial"/>
                <w:sz w:val="20"/>
                <w:lang w:val="en-US"/>
              </w:rPr>
            </w:pPr>
            <w:r w:rsidRPr="00605CEF">
              <w:rPr>
                <w:sz w:val="20"/>
              </w:rPr>
              <w:t>-3,769,475</w:t>
            </w:r>
          </w:p>
        </w:tc>
      </w:tr>
      <w:tr w:rsidR="00605CEF" w:rsidRPr="00255B51" w14:paraId="7893DDC5" w14:textId="77777777" w:rsidTr="008D1198">
        <w:tc>
          <w:tcPr>
            <w:tcW w:w="3539" w:type="dxa"/>
            <w:shd w:val="clear" w:color="auto" w:fill="auto"/>
            <w:vAlign w:val="center"/>
          </w:tcPr>
          <w:p w14:paraId="379B314F" w14:textId="7ECE16DB" w:rsidR="00605CEF" w:rsidRPr="00255B51" w:rsidRDefault="00605CEF" w:rsidP="00605CEF">
            <w:pPr>
              <w:rPr>
                <w:rFonts w:cs="Arial"/>
                <w:sz w:val="20"/>
                <w:lang w:val="en-US"/>
              </w:rPr>
            </w:pPr>
            <w:r w:rsidRPr="00255B51">
              <w:rPr>
                <w:rFonts w:cs="Arial"/>
                <w:sz w:val="20"/>
              </w:rPr>
              <w:t>Children's Social Care Reserve</w:t>
            </w:r>
          </w:p>
        </w:tc>
        <w:tc>
          <w:tcPr>
            <w:tcW w:w="1364" w:type="dxa"/>
            <w:shd w:val="clear" w:color="auto" w:fill="auto"/>
            <w:vAlign w:val="center"/>
          </w:tcPr>
          <w:p w14:paraId="57BF68B5" w14:textId="07ADF4BF" w:rsidR="00605CEF" w:rsidRPr="00255B51" w:rsidRDefault="00605CEF" w:rsidP="00605CEF">
            <w:pPr>
              <w:jc w:val="right"/>
              <w:rPr>
                <w:rFonts w:cs="Arial"/>
                <w:sz w:val="20"/>
                <w:lang w:val="en-US"/>
              </w:rPr>
            </w:pPr>
            <w:r w:rsidRPr="00255B51">
              <w:rPr>
                <w:rFonts w:cs="Arial"/>
                <w:sz w:val="20"/>
              </w:rPr>
              <w:t>0</w:t>
            </w:r>
          </w:p>
        </w:tc>
        <w:tc>
          <w:tcPr>
            <w:tcW w:w="1319" w:type="dxa"/>
            <w:shd w:val="clear" w:color="auto" w:fill="auto"/>
          </w:tcPr>
          <w:p w14:paraId="6520CCC1" w14:textId="68D008DE" w:rsidR="00605CEF" w:rsidRPr="00605CEF" w:rsidRDefault="00605CEF" w:rsidP="00605CEF">
            <w:pPr>
              <w:jc w:val="right"/>
              <w:rPr>
                <w:rFonts w:cs="Arial"/>
                <w:sz w:val="20"/>
                <w:lang w:val="en-US"/>
              </w:rPr>
            </w:pPr>
            <w:r w:rsidRPr="00605CEF">
              <w:rPr>
                <w:sz w:val="20"/>
              </w:rPr>
              <w:t>-206,413</w:t>
            </w:r>
          </w:p>
        </w:tc>
        <w:tc>
          <w:tcPr>
            <w:tcW w:w="1317" w:type="dxa"/>
            <w:shd w:val="clear" w:color="auto" w:fill="auto"/>
          </w:tcPr>
          <w:p w14:paraId="365C029F" w14:textId="0FF11B65" w:rsidR="00605CEF" w:rsidRPr="00605CEF" w:rsidRDefault="00605CEF" w:rsidP="00605CEF">
            <w:pPr>
              <w:jc w:val="right"/>
              <w:rPr>
                <w:rFonts w:cs="Arial"/>
                <w:sz w:val="20"/>
                <w:lang w:val="en-US"/>
              </w:rPr>
            </w:pPr>
          </w:p>
        </w:tc>
        <w:tc>
          <w:tcPr>
            <w:tcW w:w="1269" w:type="dxa"/>
            <w:shd w:val="clear" w:color="auto" w:fill="auto"/>
          </w:tcPr>
          <w:p w14:paraId="02DD66EE" w14:textId="42DD5583" w:rsidR="00605CEF" w:rsidRPr="00605CEF" w:rsidRDefault="00605CEF" w:rsidP="00605CEF">
            <w:pPr>
              <w:jc w:val="right"/>
              <w:rPr>
                <w:rFonts w:cs="Arial"/>
                <w:sz w:val="20"/>
                <w:lang w:val="en-US"/>
              </w:rPr>
            </w:pPr>
            <w:r w:rsidRPr="00605CEF">
              <w:rPr>
                <w:sz w:val="20"/>
              </w:rPr>
              <w:t>-2,901,707</w:t>
            </w:r>
          </w:p>
        </w:tc>
        <w:tc>
          <w:tcPr>
            <w:tcW w:w="1393" w:type="dxa"/>
            <w:shd w:val="clear" w:color="auto" w:fill="auto"/>
          </w:tcPr>
          <w:p w14:paraId="02C271C9" w14:textId="1D219DB3" w:rsidR="00605CEF" w:rsidRPr="00605CEF" w:rsidRDefault="00605CEF" w:rsidP="00605CEF">
            <w:pPr>
              <w:jc w:val="right"/>
              <w:rPr>
                <w:rFonts w:cs="Arial"/>
                <w:sz w:val="20"/>
                <w:lang w:val="en-US"/>
              </w:rPr>
            </w:pPr>
            <w:r w:rsidRPr="00605CEF">
              <w:rPr>
                <w:sz w:val="20"/>
              </w:rPr>
              <w:t>-3,108,120</w:t>
            </w:r>
          </w:p>
        </w:tc>
      </w:tr>
      <w:tr w:rsidR="00605CEF" w:rsidRPr="00255B51" w14:paraId="3D8BA745" w14:textId="77777777" w:rsidTr="008D1198">
        <w:tc>
          <w:tcPr>
            <w:tcW w:w="3539" w:type="dxa"/>
            <w:shd w:val="clear" w:color="auto" w:fill="auto"/>
            <w:vAlign w:val="center"/>
          </w:tcPr>
          <w:p w14:paraId="5BAFD6C8" w14:textId="434FCFD6" w:rsidR="00605CEF" w:rsidRPr="00255B51" w:rsidRDefault="00605CEF" w:rsidP="00605CEF">
            <w:pPr>
              <w:rPr>
                <w:rFonts w:cs="Arial"/>
                <w:sz w:val="20"/>
                <w:lang w:val="en-US"/>
              </w:rPr>
            </w:pPr>
            <w:r w:rsidRPr="00255B51">
              <w:rPr>
                <w:rFonts w:cs="Arial"/>
                <w:sz w:val="20"/>
              </w:rPr>
              <w:t>IT Reserve</w:t>
            </w:r>
          </w:p>
        </w:tc>
        <w:tc>
          <w:tcPr>
            <w:tcW w:w="1364" w:type="dxa"/>
            <w:shd w:val="clear" w:color="auto" w:fill="auto"/>
            <w:vAlign w:val="center"/>
          </w:tcPr>
          <w:p w14:paraId="03CF918C" w14:textId="3792F058" w:rsidR="00605CEF" w:rsidRPr="00255B51" w:rsidRDefault="00605CEF" w:rsidP="00605CEF">
            <w:pPr>
              <w:jc w:val="right"/>
              <w:rPr>
                <w:rFonts w:cs="Arial"/>
                <w:sz w:val="20"/>
                <w:lang w:val="en-US"/>
              </w:rPr>
            </w:pPr>
            <w:r w:rsidRPr="00255B51">
              <w:rPr>
                <w:rFonts w:cs="Arial"/>
                <w:sz w:val="20"/>
              </w:rPr>
              <w:t>-134,000</w:t>
            </w:r>
          </w:p>
        </w:tc>
        <w:tc>
          <w:tcPr>
            <w:tcW w:w="1319" w:type="dxa"/>
            <w:shd w:val="clear" w:color="auto" w:fill="auto"/>
          </w:tcPr>
          <w:p w14:paraId="4D0F67FF" w14:textId="2DABADA0" w:rsidR="00605CEF" w:rsidRPr="00605CEF" w:rsidRDefault="00605CEF" w:rsidP="00605CEF">
            <w:pPr>
              <w:jc w:val="right"/>
              <w:rPr>
                <w:rFonts w:cs="Arial"/>
                <w:sz w:val="20"/>
                <w:lang w:val="en-US"/>
              </w:rPr>
            </w:pPr>
          </w:p>
        </w:tc>
        <w:tc>
          <w:tcPr>
            <w:tcW w:w="1317" w:type="dxa"/>
            <w:shd w:val="clear" w:color="auto" w:fill="auto"/>
          </w:tcPr>
          <w:p w14:paraId="63158E0E" w14:textId="2E30A58C" w:rsidR="00605CEF" w:rsidRPr="00605CEF" w:rsidRDefault="00605CEF" w:rsidP="00605CEF">
            <w:pPr>
              <w:jc w:val="right"/>
              <w:rPr>
                <w:rFonts w:cs="Arial"/>
                <w:sz w:val="20"/>
                <w:lang w:val="en-US"/>
              </w:rPr>
            </w:pPr>
          </w:p>
        </w:tc>
        <w:tc>
          <w:tcPr>
            <w:tcW w:w="1269" w:type="dxa"/>
            <w:shd w:val="clear" w:color="auto" w:fill="auto"/>
          </w:tcPr>
          <w:p w14:paraId="4CF7A8EB" w14:textId="1B4BBE35" w:rsidR="00605CEF" w:rsidRPr="00605CEF" w:rsidRDefault="00605CEF" w:rsidP="00605CEF">
            <w:pPr>
              <w:jc w:val="right"/>
              <w:rPr>
                <w:rFonts w:cs="Arial"/>
                <w:sz w:val="20"/>
                <w:lang w:val="en-US"/>
              </w:rPr>
            </w:pPr>
          </w:p>
        </w:tc>
        <w:tc>
          <w:tcPr>
            <w:tcW w:w="1393" w:type="dxa"/>
            <w:shd w:val="clear" w:color="auto" w:fill="auto"/>
          </w:tcPr>
          <w:p w14:paraId="5418268C" w14:textId="2153905A" w:rsidR="00605CEF" w:rsidRPr="00605CEF" w:rsidRDefault="00605CEF" w:rsidP="00605CEF">
            <w:pPr>
              <w:jc w:val="right"/>
              <w:rPr>
                <w:rFonts w:cs="Arial"/>
                <w:sz w:val="20"/>
                <w:lang w:val="en-US"/>
              </w:rPr>
            </w:pPr>
            <w:r w:rsidRPr="00605CEF">
              <w:rPr>
                <w:sz w:val="20"/>
              </w:rPr>
              <w:t>-134,000</w:t>
            </w:r>
          </w:p>
        </w:tc>
      </w:tr>
      <w:tr w:rsidR="00605CEF" w:rsidRPr="00255B51" w14:paraId="64D5F766" w14:textId="77777777" w:rsidTr="008D1198">
        <w:tc>
          <w:tcPr>
            <w:tcW w:w="3539" w:type="dxa"/>
            <w:shd w:val="clear" w:color="auto" w:fill="auto"/>
            <w:vAlign w:val="center"/>
          </w:tcPr>
          <w:p w14:paraId="319CD6D0" w14:textId="67E51D61" w:rsidR="00605CEF" w:rsidRPr="00255B51" w:rsidRDefault="00605CEF" w:rsidP="00605CEF">
            <w:pPr>
              <w:rPr>
                <w:rFonts w:cs="Arial"/>
                <w:sz w:val="20"/>
                <w:lang w:val="en-US"/>
              </w:rPr>
            </w:pPr>
            <w:r w:rsidRPr="00255B51">
              <w:rPr>
                <w:rFonts w:cs="Arial"/>
                <w:sz w:val="20"/>
              </w:rPr>
              <w:t>Borough Election</w:t>
            </w:r>
          </w:p>
        </w:tc>
        <w:tc>
          <w:tcPr>
            <w:tcW w:w="1364" w:type="dxa"/>
            <w:shd w:val="clear" w:color="auto" w:fill="auto"/>
            <w:vAlign w:val="center"/>
          </w:tcPr>
          <w:p w14:paraId="68E9ADBF" w14:textId="1B1B3936" w:rsidR="00605CEF" w:rsidRPr="00255B51" w:rsidRDefault="00605CEF" w:rsidP="00605CEF">
            <w:pPr>
              <w:jc w:val="right"/>
              <w:rPr>
                <w:rFonts w:cs="Arial"/>
                <w:sz w:val="20"/>
                <w:lang w:val="en-US"/>
              </w:rPr>
            </w:pPr>
            <w:r w:rsidRPr="00255B51">
              <w:rPr>
                <w:rFonts w:cs="Arial"/>
                <w:sz w:val="20"/>
              </w:rPr>
              <w:t>-398,747</w:t>
            </w:r>
          </w:p>
        </w:tc>
        <w:tc>
          <w:tcPr>
            <w:tcW w:w="1319" w:type="dxa"/>
            <w:shd w:val="clear" w:color="auto" w:fill="auto"/>
          </w:tcPr>
          <w:p w14:paraId="67BB5D76" w14:textId="26C799F0" w:rsidR="00605CEF" w:rsidRPr="00605CEF" w:rsidRDefault="00605CEF" w:rsidP="00605CEF">
            <w:pPr>
              <w:jc w:val="right"/>
              <w:rPr>
                <w:rFonts w:cs="Arial"/>
                <w:sz w:val="20"/>
                <w:lang w:val="en-US"/>
              </w:rPr>
            </w:pPr>
            <w:r w:rsidRPr="00605CEF">
              <w:rPr>
                <w:sz w:val="20"/>
              </w:rPr>
              <w:t>-175,930</w:t>
            </w:r>
          </w:p>
        </w:tc>
        <w:tc>
          <w:tcPr>
            <w:tcW w:w="1317" w:type="dxa"/>
            <w:shd w:val="clear" w:color="auto" w:fill="auto"/>
          </w:tcPr>
          <w:p w14:paraId="19FD7959" w14:textId="52694D13" w:rsidR="00605CEF" w:rsidRPr="00605CEF" w:rsidRDefault="00605CEF" w:rsidP="00605CEF">
            <w:pPr>
              <w:jc w:val="right"/>
              <w:rPr>
                <w:rFonts w:cs="Arial"/>
                <w:sz w:val="20"/>
                <w:lang w:val="en-US"/>
              </w:rPr>
            </w:pPr>
          </w:p>
        </w:tc>
        <w:tc>
          <w:tcPr>
            <w:tcW w:w="1269" w:type="dxa"/>
            <w:shd w:val="clear" w:color="auto" w:fill="auto"/>
          </w:tcPr>
          <w:p w14:paraId="2C24FA04" w14:textId="2CBEB748" w:rsidR="00605CEF" w:rsidRPr="00605CEF" w:rsidRDefault="00605CEF" w:rsidP="00605CEF">
            <w:pPr>
              <w:jc w:val="right"/>
              <w:rPr>
                <w:rFonts w:cs="Arial"/>
                <w:sz w:val="20"/>
                <w:lang w:val="en-US"/>
              </w:rPr>
            </w:pPr>
          </w:p>
        </w:tc>
        <w:tc>
          <w:tcPr>
            <w:tcW w:w="1393" w:type="dxa"/>
            <w:shd w:val="clear" w:color="auto" w:fill="auto"/>
          </w:tcPr>
          <w:p w14:paraId="21982526" w14:textId="6B725E37" w:rsidR="00605CEF" w:rsidRPr="00605CEF" w:rsidRDefault="00605CEF" w:rsidP="00605CEF">
            <w:pPr>
              <w:jc w:val="right"/>
              <w:rPr>
                <w:rFonts w:cs="Arial"/>
                <w:sz w:val="20"/>
                <w:lang w:val="en-US"/>
              </w:rPr>
            </w:pPr>
            <w:r w:rsidRPr="00605CEF">
              <w:rPr>
                <w:sz w:val="20"/>
              </w:rPr>
              <w:t>-574,677</w:t>
            </w:r>
          </w:p>
        </w:tc>
      </w:tr>
      <w:tr w:rsidR="00605CEF" w:rsidRPr="00255B51" w14:paraId="684C60B1" w14:textId="77777777" w:rsidTr="008D1198">
        <w:tc>
          <w:tcPr>
            <w:tcW w:w="3539" w:type="dxa"/>
            <w:shd w:val="clear" w:color="auto" w:fill="auto"/>
            <w:vAlign w:val="center"/>
          </w:tcPr>
          <w:p w14:paraId="7F80E0AA" w14:textId="5BA50DDE" w:rsidR="00605CEF" w:rsidRPr="00255B51" w:rsidRDefault="00605CEF" w:rsidP="00605CEF">
            <w:pPr>
              <w:rPr>
                <w:rFonts w:cs="Arial"/>
                <w:sz w:val="20"/>
                <w:lang w:val="en-US"/>
              </w:rPr>
            </w:pPr>
            <w:proofErr w:type="spellStart"/>
            <w:r w:rsidRPr="00255B51">
              <w:rPr>
                <w:rFonts w:cs="Arial"/>
                <w:sz w:val="20"/>
              </w:rPr>
              <w:t>Harvist</w:t>
            </w:r>
            <w:proofErr w:type="spellEnd"/>
            <w:r w:rsidRPr="00255B51">
              <w:rPr>
                <w:rFonts w:cs="Arial"/>
                <w:sz w:val="20"/>
              </w:rPr>
              <w:t xml:space="preserve"> Reserve Harrow Share</w:t>
            </w:r>
          </w:p>
        </w:tc>
        <w:tc>
          <w:tcPr>
            <w:tcW w:w="1364" w:type="dxa"/>
            <w:shd w:val="clear" w:color="auto" w:fill="auto"/>
            <w:vAlign w:val="center"/>
          </w:tcPr>
          <w:p w14:paraId="0E37C715" w14:textId="7E6E8CE7" w:rsidR="00605CEF" w:rsidRPr="00255B51" w:rsidRDefault="00605CEF" w:rsidP="00605CEF">
            <w:pPr>
              <w:jc w:val="right"/>
              <w:rPr>
                <w:rFonts w:cs="Arial"/>
                <w:sz w:val="20"/>
                <w:lang w:val="en-US"/>
              </w:rPr>
            </w:pPr>
            <w:r w:rsidRPr="00255B51">
              <w:rPr>
                <w:rFonts w:cs="Arial"/>
                <w:sz w:val="20"/>
              </w:rPr>
              <w:t>-15,889</w:t>
            </w:r>
          </w:p>
        </w:tc>
        <w:tc>
          <w:tcPr>
            <w:tcW w:w="1319" w:type="dxa"/>
            <w:shd w:val="clear" w:color="auto" w:fill="auto"/>
          </w:tcPr>
          <w:p w14:paraId="0CDD24B5" w14:textId="1D95458A" w:rsidR="00605CEF" w:rsidRPr="00605CEF" w:rsidRDefault="00605CEF" w:rsidP="00605CEF">
            <w:pPr>
              <w:jc w:val="right"/>
              <w:rPr>
                <w:rFonts w:cs="Arial"/>
                <w:sz w:val="20"/>
                <w:lang w:val="en-US"/>
              </w:rPr>
            </w:pPr>
          </w:p>
        </w:tc>
        <w:tc>
          <w:tcPr>
            <w:tcW w:w="1317" w:type="dxa"/>
            <w:shd w:val="clear" w:color="auto" w:fill="auto"/>
          </w:tcPr>
          <w:p w14:paraId="1AD5F073" w14:textId="029985CB" w:rsidR="00605CEF" w:rsidRPr="00605CEF" w:rsidRDefault="00605CEF" w:rsidP="00605CEF">
            <w:pPr>
              <w:jc w:val="right"/>
              <w:rPr>
                <w:rFonts w:cs="Arial"/>
                <w:sz w:val="20"/>
                <w:lang w:val="en-US"/>
              </w:rPr>
            </w:pPr>
          </w:p>
        </w:tc>
        <w:tc>
          <w:tcPr>
            <w:tcW w:w="1269" w:type="dxa"/>
            <w:shd w:val="clear" w:color="auto" w:fill="auto"/>
          </w:tcPr>
          <w:p w14:paraId="1C762433" w14:textId="56AE7B3C" w:rsidR="00605CEF" w:rsidRPr="00605CEF" w:rsidRDefault="00605CEF" w:rsidP="00605CEF">
            <w:pPr>
              <w:jc w:val="right"/>
              <w:rPr>
                <w:rFonts w:cs="Arial"/>
                <w:sz w:val="20"/>
                <w:lang w:val="en-US"/>
              </w:rPr>
            </w:pPr>
          </w:p>
        </w:tc>
        <w:tc>
          <w:tcPr>
            <w:tcW w:w="1393" w:type="dxa"/>
            <w:shd w:val="clear" w:color="auto" w:fill="auto"/>
          </w:tcPr>
          <w:p w14:paraId="7B5789BF" w14:textId="579AA38F" w:rsidR="00605CEF" w:rsidRPr="00605CEF" w:rsidRDefault="00605CEF" w:rsidP="00605CEF">
            <w:pPr>
              <w:jc w:val="right"/>
              <w:rPr>
                <w:rFonts w:cs="Arial"/>
                <w:sz w:val="20"/>
                <w:lang w:val="en-US"/>
              </w:rPr>
            </w:pPr>
            <w:r w:rsidRPr="00605CEF">
              <w:rPr>
                <w:sz w:val="20"/>
              </w:rPr>
              <w:t>-15,889</w:t>
            </w:r>
          </w:p>
        </w:tc>
      </w:tr>
      <w:tr w:rsidR="00605CEF" w:rsidRPr="00255B51" w14:paraId="31A4A6F2" w14:textId="77777777" w:rsidTr="008D1198">
        <w:tc>
          <w:tcPr>
            <w:tcW w:w="3539" w:type="dxa"/>
            <w:shd w:val="clear" w:color="auto" w:fill="auto"/>
            <w:vAlign w:val="center"/>
          </w:tcPr>
          <w:p w14:paraId="55264D54" w14:textId="6611F29C" w:rsidR="00605CEF" w:rsidRPr="00255B51" w:rsidRDefault="00605CEF" w:rsidP="00605CEF">
            <w:pPr>
              <w:rPr>
                <w:rFonts w:cs="Arial"/>
                <w:sz w:val="20"/>
                <w:lang w:val="en-US"/>
              </w:rPr>
            </w:pPr>
            <w:r w:rsidRPr="00255B51">
              <w:rPr>
                <w:rFonts w:cs="Arial"/>
                <w:sz w:val="20"/>
              </w:rPr>
              <w:t>Proceeds Of Crime Reserve</w:t>
            </w:r>
          </w:p>
        </w:tc>
        <w:tc>
          <w:tcPr>
            <w:tcW w:w="1364" w:type="dxa"/>
            <w:shd w:val="clear" w:color="auto" w:fill="auto"/>
            <w:vAlign w:val="center"/>
          </w:tcPr>
          <w:p w14:paraId="39715FFD" w14:textId="72207446" w:rsidR="00605CEF" w:rsidRPr="00255B51" w:rsidRDefault="00605CEF" w:rsidP="00605CEF">
            <w:pPr>
              <w:jc w:val="right"/>
              <w:rPr>
                <w:rFonts w:cs="Arial"/>
                <w:sz w:val="20"/>
                <w:lang w:val="en-US"/>
              </w:rPr>
            </w:pPr>
            <w:r w:rsidRPr="00255B51">
              <w:rPr>
                <w:rFonts w:cs="Arial"/>
                <w:sz w:val="20"/>
              </w:rPr>
              <w:t>-63,000</w:t>
            </w:r>
          </w:p>
        </w:tc>
        <w:tc>
          <w:tcPr>
            <w:tcW w:w="1319" w:type="dxa"/>
            <w:shd w:val="clear" w:color="auto" w:fill="auto"/>
          </w:tcPr>
          <w:p w14:paraId="4D7C49E5" w14:textId="62817AE4" w:rsidR="00605CEF" w:rsidRPr="00605CEF" w:rsidRDefault="00605CEF" w:rsidP="00605CEF">
            <w:pPr>
              <w:jc w:val="right"/>
              <w:rPr>
                <w:rFonts w:cs="Arial"/>
                <w:sz w:val="20"/>
                <w:lang w:val="en-US"/>
              </w:rPr>
            </w:pPr>
          </w:p>
        </w:tc>
        <w:tc>
          <w:tcPr>
            <w:tcW w:w="1317" w:type="dxa"/>
            <w:shd w:val="clear" w:color="auto" w:fill="auto"/>
          </w:tcPr>
          <w:p w14:paraId="342BBFFE" w14:textId="1C5463C8" w:rsidR="00605CEF" w:rsidRPr="00605CEF" w:rsidRDefault="00605CEF" w:rsidP="00605CEF">
            <w:pPr>
              <w:jc w:val="right"/>
              <w:rPr>
                <w:rFonts w:cs="Arial"/>
                <w:sz w:val="20"/>
                <w:lang w:val="en-US"/>
              </w:rPr>
            </w:pPr>
          </w:p>
        </w:tc>
        <w:tc>
          <w:tcPr>
            <w:tcW w:w="1269" w:type="dxa"/>
            <w:shd w:val="clear" w:color="auto" w:fill="auto"/>
          </w:tcPr>
          <w:p w14:paraId="0D713909" w14:textId="6C84B929" w:rsidR="00605CEF" w:rsidRPr="00605CEF" w:rsidRDefault="00605CEF" w:rsidP="00605CEF">
            <w:pPr>
              <w:jc w:val="right"/>
              <w:rPr>
                <w:rFonts w:cs="Arial"/>
                <w:sz w:val="20"/>
                <w:lang w:val="en-US"/>
              </w:rPr>
            </w:pPr>
          </w:p>
        </w:tc>
        <w:tc>
          <w:tcPr>
            <w:tcW w:w="1393" w:type="dxa"/>
            <w:shd w:val="clear" w:color="auto" w:fill="auto"/>
          </w:tcPr>
          <w:p w14:paraId="4BA5C5DE" w14:textId="7BA4586C" w:rsidR="00605CEF" w:rsidRPr="00605CEF" w:rsidRDefault="00605CEF" w:rsidP="00605CEF">
            <w:pPr>
              <w:jc w:val="right"/>
              <w:rPr>
                <w:rFonts w:cs="Arial"/>
                <w:sz w:val="20"/>
                <w:lang w:val="en-US"/>
              </w:rPr>
            </w:pPr>
            <w:r w:rsidRPr="00605CEF">
              <w:rPr>
                <w:sz w:val="20"/>
              </w:rPr>
              <w:t>-63,000</w:t>
            </w:r>
          </w:p>
        </w:tc>
      </w:tr>
      <w:tr w:rsidR="00605CEF" w:rsidRPr="00255B51" w14:paraId="03658E52" w14:textId="77777777" w:rsidTr="008D1198">
        <w:tc>
          <w:tcPr>
            <w:tcW w:w="3539" w:type="dxa"/>
            <w:shd w:val="clear" w:color="auto" w:fill="auto"/>
            <w:vAlign w:val="center"/>
          </w:tcPr>
          <w:p w14:paraId="14A56ED4" w14:textId="4165F05F" w:rsidR="00605CEF" w:rsidRPr="00255B51" w:rsidRDefault="00605CEF" w:rsidP="00605CEF">
            <w:pPr>
              <w:rPr>
                <w:rFonts w:cs="Arial"/>
                <w:sz w:val="20"/>
                <w:lang w:val="en-US"/>
              </w:rPr>
            </w:pPr>
            <w:r w:rsidRPr="00255B51">
              <w:rPr>
                <w:rFonts w:cs="Arial"/>
                <w:sz w:val="20"/>
              </w:rPr>
              <w:t>Proceeds Of Crime Planning</w:t>
            </w:r>
          </w:p>
        </w:tc>
        <w:tc>
          <w:tcPr>
            <w:tcW w:w="1364" w:type="dxa"/>
            <w:shd w:val="clear" w:color="auto" w:fill="auto"/>
            <w:vAlign w:val="center"/>
          </w:tcPr>
          <w:p w14:paraId="2999777C" w14:textId="62199318" w:rsidR="00605CEF" w:rsidRPr="00255B51" w:rsidRDefault="00605CEF" w:rsidP="00605CEF">
            <w:pPr>
              <w:jc w:val="right"/>
              <w:rPr>
                <w:rFonts w:cs="Arial"/>
                <w:sz w:val="20"/>
                <w:lang w:val="en-US"/>
              </w:rPr>
            </w:pPr>
            <w:r w:rsidRPr="00255B51">
              <w:rPr>
                <w:rFonts w:cs="Arial"/>
                <w:sz w:val="20"/>
              </w:rPr>
              <w:t>-326,550</w:t>
            </w:r>
          </w:p>
        </w:tc>
        <w:tc>
          <w:tcPr>
            <w:tcW w:w="1319" w:type="dxa"/>
            <w:shd w:val="clear" w:color="auto" w:fill="auto"/>
          </w:tcPr>
          <w:p w14:paraId="7F8999EC" w14:textId="58378217" w:rsidR="00605CEF" w:rsidRPr="00605CEF" w:rsidRDefault="00605CEF" w:rsidP="00605CEF">
            <w:pPr>
              <w:jc w:val="right"/>
              <w:rPr>
                <w:rFonts w:cs="Arial"/>
                <w:sz w:val="20"/>
                <w:lang w:val="en-US"/>
              </w:rPr>
            </w:pPr>
            <w:r w:rsidRPr="00605CEF">
              <w:rPr>
                <w:sz w:val="20"/>
              </w:rPr>
              <w:t>-103,622</w:t>
            </w:r>
          </w:p>
        </w:tc>
        <w:tc>
          <w:tcPr>
            <w:tcW w:w="1317" w:type="dxa"/>
            <w:shd w:val="clear" w:color="auto" w:fill="auto"/>
          </w:tcPr>
          <w:p w14:paraId="5CE2F6AF" w14:textId="648689CA" w:rsidR="00605CEF" w:rsidRPr="00605CEF" w:rsidRDefault="00605CEF" w:rsidP="00605CEF">
            <w:pPr>
              <w:jc w:val="right"/>
              <w:rPr>
                <w:rFonts w:cs="Arial"/>
                <w:sz w:val="20"/>
                <w:lang w:val="en-US"/>
              </w:rPr>
            </w:pPr>
          </w:p>
        </w:tc>
        <w:tc>
          <w:tcPr>
            <w:tcW w:w="1269" w:type="dxa"/>
            <w:shd w:val="clear" w:color="auto" w:fill="auto"/>
          </w:tcPr>
          <w:p w14:paraId="0A1E6C79" w14:textId="1860F7A2" w:rsidR="00605CEF" w:rsidRPr="00605CEF" w:rsidRDefault="00605CEF" w:rsidP="00605CEF">
            <w:pPr>
              <w:jc w:val="right"/>
              <w:rPr>
                <w:rFonts w:cs="Arial"/>
                <w:sz w:val="20"/>
                <w:lang w:val="en-US"/>
              </w:rPr>
            </w:pPr>
          </w:p>
        </w:tc>
        <w:tc>
          <w:tcPr>
            <w:tcW w:w="1393" w:type="dxa"/>
            <w:shd w:val="clear" w:color="auto" w:fill="auto"/>
          </w:tcPr>
          <w:p w14:paraId="4C3409B7" w14:textId="7729F44E" w:rsidR="00605CEF" w:rsidRPr="00605CEF" w:rsidRDefault="00605CEF" w:rsidP="00605CEF">
            <w:pPr>
              <w:jc w:val="right"/>
              <w:rPr>
                <w:rFonts w:cs="Arial"/>
                <w:sz w:val="20"/>
                <w:lang w:val="en-US"/>
              </w:rPr>
            </w:pPr>
            <w:r w:rsidRPr="00605CEF">
              <w:rPr>
                <w:sz w:val="20"/>
              </w:rPr>
              <w:t>-430,172</w:t>
            </w:r>
          </w:p>
        </w:tc>
      </w:tr>
      <w:tr w:rsidR="00605CEF" w:rsidRPr="00255B51" w14:paraId="6AFC57F2" w14:textId="77777777" w:rsidTr="008D1198">
        <w:tc>
          <w:tcPr>
            <w:tcW w:w="3539" w:type="dxa"/>
            <w:shd w:val="clear" w:color="auto" w:fill="auto"/>
            <w:vAlign w:val="center"/>
          </w:tcPr>
          <w:p w14:paraId="6A119549" w14:textId="4CC2C370" w:rsidR="00605CEF" w:rsidRPr="00255B51" w:rsidRDefault="00605CEF" w:rsidP="00605CEF">
            <w:pPr>
              <w:rPr>
                <w:rFonts w:cs="Arial"/>
                <w:sz w:val="20"/>
                <w:lang w:val="en-US"/>
              </w:rPr>
            </w:pPr>
            <w:r w:rsidRPr="00255B51">
              <w:rPr>
                <w:rFonts w:cs="Arial"/>
                <w:sz w:val="20"/>
              </w:rPr>
              <w:t>Headstone Manor Reserve</w:t>
            </w:r>
          </w:p>
        </w:tc>
        <w:tc>
          <w:tcPr>
            <w:tcW w:w="1364" w:type="dxa"/>
            <w:shd w:val="clear" w:color="auto" w:fill="auto"/>
            <w:vAlign w:val="center"/>
          </w:tcPr>
          <w:p w14:paraId="3F9905E2" w14:textId="0A2CEEB1" w:rsidR="00605CEF" w:rsidRPr="00255B51" w:rsidRDefault="00605CEF" w:rsidP="00605CEF">
            <w:pPr>
              <w:jc w:val="right"/>
              <w:rPr>
                <w:rFonts w:cs="Arial"/>
                <w:sz w:val="20"/>
                <w:lang w:val="en-US"/>
              </w:rPr>
            </w:pPr>
            <w:r w:rsidRPr="00255B51">
              <w:rPr>
                <w:rFonts w:cs="Arial"/>
                <w:sz w:val="20"/>
              </w:rPr>
              <w:t>-287,750</w:t>
            </w:r>
          </w:p>
        </w:tc>
        <w:tc>
          <w:tcPr>
            <w:tcW w:w="1319" w:type="dxa"/>
            <w:shd w:val="clear" w:color="auto" w:fill="auto"/>
          </w:tcPr>
          <w:p w14:paraId="6C838C4F" w14:textId="1F8E5D3B" w:rsidR="00605CEF" w:rsidRPr="00605CEF" w:rsidRDefault="00605CEF" w:rsidP="00605CEF">
            <w:pPr>
              <w:jc w:val="right"/>
              <w:rPr>
                <w:rFonts w:cs="Arial"/>
                <w:sz w:val="20"/>
                <w:lang w:val="en-US"/>
              </w:rPr>
            </w:pPr>
          </w:p>
        </w:tc>
        <w:tc>
          <w:tcPr>
            <w:tcW w:w="1317" w:type="dxa"/>
            <w:shd w:val="clear" w:color="auto" w:fill="auto"/>
          </w:tcPr>
          <w:p w14:paraId="0DAAB168" w14:textId="339B74E1" w:rsidR="00605CEF" w:rsidRPr="00605CEF" w:rsidRDefault="00605CEF" w:rsidP="00605CEF">
            <w:pPr>
              <w:jc w:val="right"/>
              <w:rPr>
                <w:rFonts w:cs="Arial"/>
                <w:sz w:val="20"/>
                <w:lang w:val="en-US"/>
              </w:rPr>
            </w:pPr>
          </w:p>
        </w:tc>
        <w:tc>
          <w:tcPr>
            <w:tcW w:w="1269" w:type="dxa"/>
            <w:shd w:val="clear" w:color="auto" w:fill="auto"/>
          </w:tcPr>
          <w:p w14:paraId="68649C40" w14:textId="6DDFAA69" w:rsidR="00605CEF" w:rsidRPr="00605CEF" w:rsidRDefault="00605CEF" w:rsidP="00605CEF">
            <w:pPr>
              <w:jc w:val="right"/>
              <w:rPr>
                <w:rFonts w:cs="Arial"/>
                <w:sz w:val="20"/>
                <w:lang w:val="en-US"/>
              </w:rPr>
            </w:pPr>
          </w:p>
        </w:tc>
        <w:tc>
          <w:tcPr>
            <w:tcW w:w="1393" w:type="dxa"/>
            <w:shd w:val="clear" w:color="auto" w:fill="auto"/>
          </w:tcPr>
          <w:p w14:paraId="76CB294D" w14:textId="71F8C071" w:rsidR="00605CEF" w:rsidRPr="00605CEF" w:rsidRDefault="00605CEF" w:rsidP="00605CEF">
            <w:pPr>
              <w:jc w:val="right"/>
              <w:rPr>
                <w:rFonts w:cs="Arial"/>
                <w:sz w:val="20"/>
                <w:lang w:val="en-US"/>
              </w:rPr>
            </w:pPr>
            <w:r w:rsidRPr="00605CEF">
              <w:rPr>
                <w:sz w:val="20"/>
              </w:rPr>
              <w:t>-287,750</w:t>
            </w:r>
          </w:p>
        </w:tc>
      </w:tr>
      <w:tr w:rsidR="00605CEF" w:rsidRPr="00255B51" w14:paraId="3AE0F392" w14:textId="77777777" w:rsidTr="008D1198">
        <w:tc>
          <w:tcPr>
            <w:tcW w:w="3539" w:type="dxa"/>
            <w:shd w:val="clear" w:color="auto" w:fill="auto"/>
            <w:vAlign w:val="center"/>
          </w:tcPr>
          <w:p w14:paraId="6DC6CB2F" w14:textId="66D08271" w:rsidR="00605CEF" w:rsidRPr="00255B51" w:rsidRDefault="00605CEF" w:rsidP="00605CEF">
            <w:pPr>
              <w:rPr>
                <w:rFonts w:cs="Arial"/>
                <w:sz w:val="20"/>
                <w:lang w:val="en-US"/>
              </w:rPr>
            </w:pPr>
            <w:r w:rsidRPr="00255B51">
              <w:rPr>
                <w:rFonts w:cs="Arial"/>
                <w:color w:val="000000"/>
                <w:sz w:val="20"/>
              </w:rPr>
              <w:t>CIL Mayor</w:t>
            </w:r>
          </w:p>
        </w:tc>
        <w:tc>
          <w:tcPr>
            <w:tcW w:w="1364" w:type="dxa"/>
            <w:shd w:val="clear" w:color="auto" w:fill="auto"/>
            <w:vAlign w:val="center"/>
          </w:tcPr>
          <w:p w14:paraId="7E6DB60B" w14:textId="78CDB026" w:rsidR="00605CEF" w:rsidRPr="00255B51" w:rsidRDefault="00605CEF" w:rsidP="00605CEF">
            <w:pPr>
              <w:jc w:val="right"/>
              <w:rPr>
                <w:rFonts w:cs="Arial"/>
                <w:sz w:val="20"/>
                <w:lang w:val="en-US"/>
              </w:rPr>
            </w:pPr>
            <w:r w:rsidRPr="00255B51">
              <w:rPr>
                <w:rFonts w:cs="Arial"/>
                <w:color w:val="000000"/>
                <w:sz w:val="20"/>
              </w:rPr>
              <w:t>-152,902</w:t>
            </w:r>
          </w:p>
        </w:tc>
        <w:tc>
          <w:tcPr>
            <w:tcW w:w="1319" w:type="dxa"/>
            <w:shd w:val="clear" w:color="auto" w:fill="auto"/>
          </w:tcPr>
          <w:p w14:paraId="51EDBA75" w14:textId="452F2870" w:rsidR="00605CEF" w:rsidRPr="00605CEF" w:rsidRDefault="00605CEF" w:rsidP="00605CEF">
            <w:pPr>
              <w:jc w:val="right"/>
              <w:rPr>
                <w:rFonts w:cs="Arial"/>
                <w:sz w:val="20"/>
                <w:lang w:val="en-US"/>
              </w:rPr>
            </w:pPr>
            <w:r w:rsidRPr="00605CEF">
              <w:rPr>
                <w:sz w:val="20"/>
              </w:rPr>
              <w:t>2,382</w:t>
            </w:r>
          </w:p>
        </w:tc>
        <w:tc>
          <w:tcPr>
            <w:tcW w:w="1317" w:type="dxa"/>
            <w:shd w:val="clear" w:color="auto" w:fill="auto"/>
          </w:tcPr>
          <w:p w14:paraId="2816FB17" w14:textId="3D2F1E3D" w:rsidR="00605CEF" w:rsidRPr="00605CEF" w:rsidRDefault="00605CEF" w:rsidP="00605CEF">
            <w:pPr>
              <w:jc w:val="right"/>
              <w:rPr>
                <w:rFonts w:cs="Arial"/>
                <w:sz w:val="20"/>
                <w:lang w:val="en-US"/>
              </w:rPr>
            </w:pPr>
          </w:p>
        </w:tc>
        <w:tc>
          <w:tcPr>
            <w:tcW w:w="1269" w:type="dxa"/>
            <w:shd w:val="clear" w:color="auto" w:fill="auto"/>
          </w:tcPr>
          <w:p w14:paraId="14AB5A01" w14:textId="53A7E3EC" w:rsidR="00605CEF" w:rsidRPr="00605CEF" w:rsidRDefault="00605CEF" w:rsidP="00605CEF">
            <w:pPr>
              <w:jc w:val="right"/>
              <w:rPr>
                <w:rFonts w:cs="Arial"/>
                <w:sz w:val="20"/>
                <w:lang w:val="en-US"/>
              </w:rPr>
            </w:pPr>
          </w:p>
        </w:tc>
        <w:tc>
          <w:tcPr>
            <w:tcW w:w="1393" w:type="dxa"/>
            <w:shd w:val="clear" w:color="auto" w:fill="auto"/>
          </w:tcPr>
          <w:p w14:paraId="0CA89821" w14:textId="25B426FC" w:rsidR="00605CEF" w:rsidRPr="00605CEF" w:rsidRDefault="00605CEF" w:rsidP="00605CEF">
            <w:pPr>
              <w:jc w:val="right"/>
              <w:rPr>
                <w:rFonts w:cs="Arial"/>
                <w:sz w:val="20"/>
                <w:lang w:val="en-US"/>
              </w:rPr>
            </w:pPr>
            <w:r w:rsidRPr="00605CEF">
              <w:rPr>
                <w:sz w:val="20"/>
              </w:rPr>
              <w:t>-150,520</w:t>
            </w:r>
          </w:p>
        </w:tc>
      </w:tr>
      <w:tr w:rsidR="00605CEF" w:rsidRPr="00255B51" w14:paraId="5C4A557B" w14:textId="77777777" w:rsidTr="008D1198">
        <w:tc>
          <w:tcPr>
            <w:tcW w:w="3539" w:type="dxa"/>
            <w:shd w:val="clear" w:color="auto" w:fill="auto"/>
            <w:vAlign w:val="center"/>
          </w:tcPr>
          <w:p w14:paraId="62ECE9C0" w14:textId="68291253" w:rsidR="00605CEF" w:rsidRPr="00255B51" w:rsidRDefault="00605CEF" w:rsidP="00605CEF">
            <w:pPr>
              <w:rPr>
                <w:rFonts w:cs="Arial"/>
                <w:sz w:val="20"/>
                <w:lang w:val="en-US"/>
              </w:rPr>
            </w:pPr>
            <w:r w:rsidRPr="00255B51">
              <w:rPr>
                <w:rFonts w:cs="Arial"/>
                <w:color w:val="000000"/>
                <w:sz w:val="20"/>
              </w:rPr>
              <w:t>Libraries Reserve</w:t>
            </w:r>
          </w:p>
        </w:tc>
        <w:tc>
          <w:tcPr>
            <w:tcW w:w="1364" w:type="dxa"/>
            <w:shd w:val="clear" w:color="auto" w:fill="auto"/>
            <w:vAlign w:val="center"/>
          </w:tcPr>
          <w:p w14:paraId="35D0500E" w14:textId="05EB9652" w:rsidR="00605CEF" w:rsidRPr="00255B51" w:rsidRDefault="00605CEF" w:rsidP="00605CEF">
            <w:pPr>
              <w:jc w:val="right"/>
              <w:rPr>
                <w:rFonts w:cs="Arial"/>
                <w:sz w:val="20"/>
                <w:lang w:val="en-US"/>
              </w:rPr>
            </w:pPr>
            <w:r w:rsidRPr="00255B51">
              <w:rPr>
                <w:rFonts w:cs="Arial"/>
                <w:color w:val="000000"/>
                <w:sz w:val="20"/>
              </w:rPr>
              <w:t>-150,000</w:t>
            </w:r>
          </w:p>
        </w:tc>
        <w:tc>
          <w:tcPr>
            <w:tcW w:w="1319" w:type="dxa"/>
            <w:shd w:val="clear" w:color="auto" w:fill="auto"/>
          </w:tcPr>
          <w:p w14:paraId="139BF2BE" w14:textId="0B485F67" w:rsidR="00605CEF" w:rsidRPr="00605CEF" w:rsidRDefault="00605CEF" w:rsidP="00605CEF">
            <w:pPr>
              <w:jc w:val="right"/>
              <w:rPr>
                <w:rFonts w:cs="Arial"/>
                <w:sz w:val="20"/>
                <w:lang w:val="en-US"/>
              </w:rPr>
            </w:pPr>
          </w:p>
        </w:tc>
        <w:tc>
          <w:tcPr>
            <w:tcW w:w="1317" w:type="dxa"/>
            <w:shd w:val="clear" w:color="auto" w:fill="auto"/>
          </w:tcPr>
          <w:p w14:paraId="60BC2BB4" w14:textId="72809B53" w:rsidR="00605CEF" w:rsidRPr="00605CEF" w:rsidRDefault="00605CEF" w:rsidP="00605CEF">
            <w:pPr>
              <w:jc w:val="right"/>
              <w:rPr>
                <w:rFonts w:cs="Arial"/>
                <w:sz w:val="20"/>
                <w:lang w:val="en-US"/>
              </w:rPr>
            </w:pPr>
          </w:p>
        </w:tc>
        <w:tc>
          <w:tcPr>
            <w:tcW w:w="1269" w:type="dxa"/>
            <w:shd w:val="clear" w:color="auto" w:fill="auto"/>
          </w:tcPr>
          <w:p w14:paraId="2DE57993" w14:textId="4AD3C619" w:rsidR="00605CEF" w:rsidRPr="00605CEF" w:rsidRDefault="00605CEF" w:rsidP="00605CEF">
            <w:pPr>
              <w:jc w:val="right"/>
              <w:rPr>
                <w:rFonts w:cs="Arial"/>
                <w:sz w:val="20"/>
                <w:lang w:val="en-US"/>
              </w:rPr>
            </w:pPr>
          </w:p>
        </w:tc>
        <w:tc>
          <w:tcPr>
            <w:tcW w:w="1393" w:type="dxa"/>
            <w:shd w:val="clear" w:color="auto" w:fill="auto"/>
          </w:tcPr>
          <w:p w14:paraId="5775C66E" w14:textId="3B05145B" w:rsidR="00605CEF" w:rsidRPr="00605CEF" w:rsidRDefault="00605CEF" w:rsidP="00605CEF">
            <w:pPr>
              <w:jc w:val="right"/>
              <w:rPr>
                <w:rFonts w:cs="Arial"/>
                <w:sz w:val="20"/>
                <w:lang w:val="en-US"/>
              </w:rPr>
            </w:pPr>
            <w:r w:rsidRPr="00605CEF">
              <w:rPr>
                <w:sz w:val="20"/>
              </w:rPr>
              <w:t>-150,000</w:t>
            </w:r>
          </w:p>
        </w:tc>
      </w:tr>
      <w:tr w:rsidR="00605CEF" w:rsidRPr="00255B51" w14:paraId="44E76A13" w14:textId="77777777" w:rsidTr="008D1198">
        <w:tc>
          <w:tcPr>
            <w:tcW w:w="3539" w:type="dxa"/>
            <w:shd w:val="clear" w:color="auto" w:fill="auto"/>
            <w:vAlign w:val="center"/>
          </w:tcPr>
          <w:p w14:paraId="2ABE42A0" w14:textId="0AB0DBDD" w:rsidR="00605CEF" w:rsidRPr="00255B51" w:rsidRDefault="00605CEF" w:rsidP="00605CEF">
            <w:pPr>
              <w:rPr>
                <w:rFonts w:cs="Arial"/>
                <w:sz w:val="20"/>
                <w:lang w:val="en-US"/>
              </w:rPr>
            </w:pPr>
            <w:r w:rsidRPr="00255B51">
              <w:rPr>
                <w:rFonts w:cs="Arial"/>
                <w:color w:val="000000"/>
                <w:sz w:val="20"/>
              </w:rPr>
              <w:t>Vehicle Fund</w:t>
            </w:r>
          </w:p>
        </w:tc>
        <w:tc>
          <w:tcPr>
            <w:tcW w:w="1364" w:type="dxa"/>
            <w:shd w:val="clear" w:color="auto" w:fill="auto"/>
            <w:vAlign w:val="center"/>
          </w:tcPr>
          <w:p w14:paraId="600EC007" w14:textId="39F28CA6" w:rsidR="00605CEF" w:rsidRPr="00255B51" w:rsidRDefault="00605CEF" w:rsidP="00605CEF">
            <w:pPr>
              <w:jc w:val="right"/>
              <w:rPr>
                <w:rFonts w:cs="Arial"/>
                <w:sz w:val="20"/>
                <w:lang w:val="en-US"/>
              </w:rPr>
            </w:pPr>
            <w:r w:rsidRPr="00255B51">
              <w:rPr>
                <w:rFonts w:cs="Arial"/>
                <w:color w:val="000000"/>
                <w:sz w:val="20"/>
              </w:rPr>
              <w:t>-920,478</w:t>
            </w:r>
          </w:p>
        </w:tc>
        <w:tc>
          <w:tcPr>
            <w:tcW w:w="1319" w:type="dxa"/>
            <w:shd w:val="clear" w:color="auto" w:fill="auto"/>
          </w:tcPr>
          <w:p w14:paraId="30E9A675" w14:textId="61E92C67" w:rsidR="00605CEF" w:rsidRPr="00605CEF" w:rsidRDefault="00605CEF" w:rsidP="00605CEF">
            <w:pPr>
              <w:jc w:val="right"/>
              <w:rPr>
                <w:rFonts w:cs="Arial"/>
                <w:sz w:val="20"/>
                <w:lang w:val="en-US"/>
              </w:rPr>
            </w:pPr>
            <w:r w:rsidRPr="00605CEF">
              <w:rPr>
                <w:sz w:val="20"/>
              </w:rPr>
              <w:t>-330,000</w:t>
            </w:r>
          </w:p>
        </w:tc>
        <w:tc>
          <w:tcPr>
            <w:tcW w:w="1317" w:type="dxa"/>
            <w:shd w:val="clear" w:color="auto" w:fill="auto"/>
          </w:tcPr>
          <w:p w14:paraId="0EA3AF26" w14:textId="49594D33" w:rsidR="00605CEF" w:rsidRPr="00605CEF" w:rsidRDefault="00605CEF" w:rsidP="00605CEF">
            <w:pPr>
              <w:jc w:val="right"/>
              <w:rPr>
                <w:rFonts w:cs="Arial"/>
                <w:sz w:val="20"/>
                <w:lang w:val="en-US"/>
              </w:rPr>
            </w:pPr>
          </w:p>
        </w:tc>
        <w:tc>
          <w:tcPr>
            <w:tcW w:w="1269" w:type="dxa"/>
            <w:shd w:val="clear" w:color="auto" w:fill="auto"/>
          </w:tcPr>
          <w:p w14:paraId="3882F3B6" w14:textId="01F378F2" w:rsidR="00605CEF" w:rsidRPr="00605CEF" w:rsidRDefault="00605CEF" w:rsidP="00605CEF">
            <w:pPr>
              <w:jc w:val="right"/>
              <w:rPr>
                <w:rFonts w:cs="Arial"/>
                <w:sz w:val="20"/>
                <w:lang w:val="en-US"/>
              </w:rPr>
            </w:pPr>
          </w:p>
        </w:tc>
        <w:tc>
          <w:tcPr>
            <w:tcW w:w="1393" w:type="dxa"/>
            <w:shd w:val="clear" w:color="auto" w:fill="auto"/>
          </w:tcPr>
          <w:p w14:paraId="12CC5BB8" w14:textId="0E065B63" w:rsidR="00605CEF" w:rsidRPr="00605CEF" w:rsidRDefault="00605CEF" w:rsidP="00605CEF">
            <w:pPr>
              <w:jc w:val="right"/>
              <w:rPr>
                <w:rFonts w:cs="Arial"/>
                <w:sz w:val="20"/>
                <w:lang w:val="en-US"/>
              </w:rPr>
            </w:pPr>
            <w:r w:rsidRPr="00605CEF">
              <w:rPr>
                <w:sz w:val="20"/>
              </w:rPr>
              <w:t>-1,250,478</w:t>
            </w:r>
          </w:p>
        </w:tc>
      </w:tr>
      <w:tr w:rsidR="00605CEF" w:rsidRPr="00255B51" w14:paraId="74764591" w14:textId="77777777" w:rsidTr="008D1198">
        <w:tc>
          <w:tcPr>
            <w:tcW w:w="3539" w:type="dxa"/>
            <w:shd w:val="clear" w:color="auto" w:fill="auto"/>
            <w:vAlign w:val="center"/>
          </w:tcPr>
          <w:p w14:paraId="7CDD38A2" w14:textId="3DEF5B5E" w:rsidR="00605CEF" w:rsidRPr="00255B51" w:rsidRDefault="00605CEF" w:rsidP="00605CEF">
            <w:pPr>
              <w:rPr>
                <w:rFonts w:cs="Arial"/>
                <w:sz w:val="20"/>
                <w:lang w:val="en-US"/>
              </w:rPr>
            </w:pPr>
            <w:r w:rsidRPr="00255B51">
              <w:rPr>
                <w:rFonts w:cs="Arial"/>
                <w:color w:val="000000"/>
                <w:sz w:val="20"/>
              </w:rPr>
              <w:t>Investment Property Reserve</w:t>
            </w:r>
          </w:p>
        </w:tc>
        <w:tc>
          <w:tcPr>
            <w:tcW w:w="1364" w:type="dxa"/>
            <w:shd w:val="clear" w:color="auto" w:fill="auto"/>
            <w:vAlign w:val="center"/>
          </w:tcPr>
          <w:p w14:paraId="4DD2A7F8" w14:textId="290A9360" w:rsidR="00605CEF" w:rsidRPr="00255B51" w:rsidRDefault="00605CEF" w:rsidP="00605CEF">
            <w:pPr>
              <w:jc w:val="right"/>
              <w:rPr>
                <w:rFonts w:cs="Arial"/>
                <w:sz w:val="20"/>
                <w:lang w:val="en-US"/>
              </w:rPr>
            </w:pPr>
            <w:r w:rsidRPr="00255B51">
              <w:rPr>
                <w:rFonts w:cs="Arial"/>
                <w:color w:val="000000"/>
                <w:sz w:val="20"/>
              </w:rPr>
              <w:t>-841,875</w:t>
            </w:r>
          </w:p>
        </w:tc>
        <w:tc>
          <w:tcPr>
            <w:tcW w:w="1319" w:type="dxa"/>
            <w:shd w:val="clear" w:color="auto" w:fill="auto"/>
          </w:tcPr>
          <w:p w14:paraId="2582BE85" w14:textId="24ECABC6" w:rsidR="00605CEF" w:rsidRPr="00605CEF" w:rsidRDefault="00605CEF" w:rsidP="00605CEF">
            <w:pPr>
              <w:jc w:val="right"/>
              <w:rPr>
                <w:rFonts w:cs="Arial"/>
                <w:sz w:val="20"/>
                <w:lang w:val="en-US"/>
              </w:rPr>
            </w:pPr>
          </w:p>
        </w:tc>
        <w:tc>
          <w:tcPr>
            <w:tcW w:w="1317" w:type="dxa"/>
            <w:shd w:val="clear" w:color="auto" w:fill="auto"/>
          </w:tcPr>
          <w:p w14:paraId="23D3BD99" w14:textId="14696264" w:rsidR="00605CEF" w:rsidRPr="00605CEF" w:rsidRDefault="00605CEF" w:rsidP="00605CEF">
            <w:pPr>
              <w:jc w:val="right"/>
              <w:rPr>
                <w:rFonts w:cs="Arial"/>
                <w:sz w:val="20"/>
                <w:lang w:val="en-US"/>
              </w:rPr>
            </w:pPr>
            <w:r w:rsidRPr="00605CEF">
              <w:rPr>
                <w:sz w:val="20"/>
              </w:rPr>
              <w:t>-135,510</w:t>
            </w:r>
          </w:p>
        </w:tc>
        <w:tc>
          <w:tcPr>
            <w:tcW w:w="1269" w:type="dxa"/>
            <w:shd w:val="clear" w:color="auto" w:fill="auto"/>
          </w:tcPr>
          <w:p w14:paraId="0D1D62CA" w14:textId="29F0521F" w:rsidR="00605CEF" w:rsidRPr="00605CEF" w:rsidRDefault="00605CEF" w:rsidP="00605CEF">
            <w:pPr>
              <w:jc w:val="right"/>
              <w:rPr>
                <w:rFonts w:cs="Arial"/>
                <w:sz w:val="20"/>
                <w:lang w:val="en-US"/>
              </w:rPr>
            </w:pPr>
          </w:p>
        </w:tc>
        <w:tc>
          <w:tcPr>
            <w:tcW w:w="1393" w:type="dxa"/>
            <w:shd w:val="clear" w:color="auto" w:fill="auto"/>
          </w:tcPr>
          <w:p w14:paraId="3B638872" w14:textId="11357F7C" w:rsidR="00605CEF" w:rsidRPr="00605CEF" w:rsidRDefault="00605CEF" w:rsidP="00605CEF">
            <w:pPr>
              <w:jc w:val="right"/>
              <w:rPr>
                <w:rFonts w:cs="Arial"/>
                <w:sz w:val="20"/>
                <w:lang w:val="en-US"/>
              </w:rPr>
            </w:pPr>
            <w:r w:rsidRPr="00605CEF">
              <w:rPr>
                <w:sz w:val="20"/>
              </w:rPr>
              <w:t>-977,385</w:t>
            </w:r>
          </w:p>
        </w:tc>
      </w:tr>
      <w:tr w:rsidR="00605CEF" w:rsidRPr="00255B51" w14:paraId="37992BD9" w14:textId="77777777" w:rsidTr="008D1198">
        <w:tc>
          <w:tcPr>
            <w:tcW w:w="3539" w:type="dxa"/>
            <w:shd w:val="clear" w:color="auto" w:fill="auto"/>
            <w:vAlign w:val="center"/>
          </w:tcPr>
          <w:p w14:paraId="7857C8CE" w14:textId="2290F3D3" w:rsidR="00605CEF" w:rsidRPr="00255B51" w:rsidRDefault="00605CEF" w:rsidP="00605CEF">
            <w:pPr>
              <w:rPr>
                <w:rFonts w:cs="Arial"/>
                <w:sz w:val="20"/>
                <w:lang w:val="en-US"/>
              </w:rPr>
            </w:pPr>
            <w:r w:rsidRPr="00255B51">
              <w:rPr>
                <w:rFonts w:cs="Arial"/>
                <w:color w:val="000000"/>
                <w:sz w:val="20"/>
              </w:rPr>
              <w:t>DSG Overspend</w:t>
            </w:r>
          </w:p>
        </w:tc>
        <w:tc>
          <w:tcPr>
            <w:tcW w:w="1364" w:type="dxa"/>
            <w:shd w:val="clear" w:color="auto" w:fill="auto"/>
            <w:vAlign w:val="center"/>
          </w:tcPr>
          <w:p w14:paraId="5ABF6DDC" w14:textId="15C47FE7" w:rsidR="00605CEF" w:rsidRPr="00255B51" w:rsidRDefault="00605CEF" w:rsidP="00605CEF">
            <w:pPr>
              <w:jc w:val="right"/>
              <w:rPr>
                <w:rFonts w:cs="Arial"/>
                <w:sz w:val="20"/>
                <w:lang w:val="en-US"/>
              </w:rPr>
            </w:pPr>
            <w:r w:rsidRPr="00255B51">
              <w:rPr>
                <w:rFonts w:cs="Arial"/>
                <w:color w:val="000000"/>
                <w:sz w:val="20"/>
              </w:rPr>
              <w:t>3,730,218</w:t>
            </w:r>
          </w:p>
        </w:tc>
        <w:tc>
          <w:tcPr>
            <w:tcW w:w="1319" w:type="dxa"/>
            <w:shd w:val="clear" w:color="auto" w:fill="auto"/>
          </w:tcPr>
          <w:p w14:paraId="7CE687D4" w14:textId="5BAFD3D6" w:rsidR="00605CEF" w:rsidRPr="00605CEF" w:rsidRDefault="00605CEF" w:rsidP="00605CEF">
            <w:pPr>
              <w:jc w:val="right"/>
              <w:rPr>
                <w:rFonts w:cs="Arial"/>
                <w:sz w:val="20"/>
                <w:lang w:val="en-US"/>
              </w:rPr>
            </w:pPr>
            <w:r w:rsidRPr="00605CEF">
              <w:rPr>
                <w:sz w:val="20"/>
              </w:rPr>
              <w:t>276,649</w:t>
            </w:r>
          </w:p>
        </w:tc>
        <w:tc>
          <w:tcPr>
            <w:tcW w:w="1317" w:type="dxa"/>
            <w:shd w:val="clear" w:color="auto" w:fill="auto"/>
          </w:tcPr>
          <w:p w14:paraId="32F5DA56" w14:textId="035E9356" w:rsidR="00605CEF" w:rsidRPr="00605CEF" w:rsidRDefault="00605CEF" w:rsidP="00605CEF">
            <w:pPr>
              <w:jc w:val="right"/>
              <w:rPr>
                <w:rFonts w:cs="Arial"/>
                <w:sz w:val="20"/>
                <w:lang w:val="en-US"/>
              </w:rPr>
            </w:pPr>
          </w:p>
        </w:tc>
        <w:tc>
          <w:tcPr>
            <w:tcW w:w="1269" w:type="dxa"/>
            <w:shd w:val="clear" w:color="auto" w:fill="auto"/>
          </w:tcPr>
          <w:p w14:paraId="1CC5D4B5" w14:textId="5E46EE82" w:rsidR="00605CEF" w:rsidRPr="00605CEF" w:rsidRDefault="00605CEF" w:rsidP="00605CEF">
            <w:pPr>
              <w:jc w:val="right"/>
              <w:rPr>
                <w:rFonts w:cs="Arial"/>
                <w:sz w:val="20"/>
                <w:lang w:val="en-US"/>
              </w:rPr>
            </w:pPr>
          </w:p>
        </w:tc>
        <w:tc>
          <w:tcPr>
            <w:tcW w:w="1393" w:type="dxa"/>
            <w:shd w:val="clear" w:color="auto" w:fill="auto"/>
          </w:tcPr>
          <w:p w14:paraId="6C7DF7D2" w14:textId="3754A28A" w:rsidR="00605CEF" w:rsidRPr="00605CEF" w:rsidRDefault="00605CEF" w:rsidP="00605CEF">
            <w:pPr>
              <w:jc w:val="right"/>
              <w:rPr>
                <w:rFonts w:cs="Arial"/>
                <w:sz w:val="20"/>
                <w:lang w:val="en-US"/>
              </w:rPr>
            </w:pPr>
            <w:r w:rsidRPr="00605CEF">
              <w:rPr>
                <w:sz w:val="20"/>
              </w:rPr>
              <w:t>4,006,867</w:t>
            </w:r>
          </w:p>
        </w:tc>
      </w:tr>
      <w:tr w:rsidR="00605CEF" w:rsidRPr="00255B51" w14:paraId="303B22BE" w14:textId="77777777" w:rsidTr="008D1198">
        <w:tc>
          <w:tcPr>
            <w:tcW w:w="3539" w:type="dxa"/>
            <w:shd w:val="clear" w:color="auto" w:fill="auto"/>
            <w:vAlign w:val="center"/>
          </w:tcPr>
          <w:p w14:paraId="0A3407B7" w14:textId="2DE6B4DA" w:rsidR="00605CEF" w:rsidRPr="00255B51" w:rsidRDefault="00605CEF" w:rsidP="00605CEF">
            <w:pPr>
              <w:rPr>
                <w:rFonts w:cs="Arial"/>
                <w:sz w:val="20"/>
                <w:lang w:val="en-US"/>
              </w:rPr>
            </w:pPr>
            <w:r w:rsidRPr="00255B51">
              <w:rPr>
                <w:rFonts w:cs="Arial"/>
                <w:color w:val="000000"/>
                <w:sz w:val="20"/>
              </w:rPr>
              <w:t>PAP Sinking Fund</w:t>
            </w:r>
          </w:p>
        </w:tc>
        <w:tc>
          <w:tcPr>
            <w:tcW w:w="1364" w:type="dxa"/>
            <w:shd w:val="clear" w:color="auto" w:fill="auto"/>
            <w:vAlign w:val="center"/>
          </w:tcPr>
          <w:p w14:paraId="0918AFD5" w14:textId="2E6B72F9" w:rsidR="00605CEF" w:rsidRPr="00255B51" w:rsidRDefault="00605CEF" w:rsidP="00605CEF">
            <w:pPr>
              <w:jc w:val="right"/>
              <w:rPr>
                <w:rFonts w:cs="Arial"/>
                <w:sz w:val="20"/>
                <w:lang w:val="en-US"/>
              </w:rPr>
            </w:pPr>
            <w:r w:rsidRPr="00255B51">
              <w:rPr>
                <w:rFonts w:cs="Arial"/>
                <w:color w:val="000000"/>
                <w:sz w:val="20"/>
              </w:rPr>
              <w:t>-190,000</w:t>
            </w:r>
          </w:p>
        </w:tc>
        <w:tc>
          <w:tcPr>
            <w:tcW w:w="1319" w:type="dxa"/>
            <w:shd w:val="clear" w:color="auto" w:fill="auto"/>
          </w:tcPr>
          <w:p w14:paraId="131E2246" w14:textId="39D3B203" w:rsidR="00605CEF" w:rsidRPr="00605CEF" w:rsidRDefault="00605CEF" w:rsidP="00605CEF">
            <w:pPr>
              <w:jc w:val="right"/>
              <w:rPr>
                <w:rFonts w:cs="Arial"/>
                <w:sz w:val="20"/>
                <w:lang w:val="en-US"/>
              </w:rPr>
            </w:pPr>
            <w:r w:rsidRPr="00605CEF">
              <w:rPr>
                <w:sz w:val="20"/>
              </w:rPr>
              <w:t>-203,300</w:t>
            </w:r>
          </w:p>
        </w:tc>
        <w:tc>
          <w:tcPr>
            <w:tcW w:w="1317" w:type="dxa"/>
            <w:shd w:val="clear" w:color="auto" w:fill="auto"/>
          </w:tcPr>
          <w:p w14:paraId="06158B22" w14:textId="0960EA58" w:rsidR="00605CEF" w:rsidRPr="00605CEF" w:rsidRDefault="00605CEF" w:rsidP="00605CEF">
            <w:pPr>
              <w:jc w:val="right"/>
              <w:rPr>
                <w:rFonts w:cs="Arial"/>
                <w:sz w:val="20"/>
                <w:lang w:val="en-US"/>
              </w:rPr>
            </w:pPr>
          </w:p>
        </w:tc>
        <w:tc>
          <w:tcPr>
            <w:tcW w:w="1269" w:type="dxa"/>
            <w:shd w:val="clear" w:color="auto" w:fill="auto"/>
          </w:tcPr>
          <w:p w14:paraId="03875792" w14:textId="660AEFDC" w:rsidR="00605CEF" w:rsidRPr="00605CEF" w:rsidRDefault="00605CEF" w:rsidP="00605CEF">
            <w:pPr>
              <w:jc w:val="right"/>
              <w:rPr>
                <w:rFonts w:cs="Arial"/>
                <w:sz w:val="20"/>
                <w:lang w:val="en-US"/>
              </w:rPr>
            </w:pPr>
          </w:p>
        </w:tc>
        <w:tc>
          <w:tcPr>
            <w:tcW w:w="1393" w:type="dxa"/>
            <w:shd w:val="clear" w:color="auto" w:fill="auto"/>
          </w:tcPr>
          <w:p w14:paraId="7A3722B3" w14:textId="4A115C2F" w:rsidR="00605CEF" w:rsidRPr="00605CEF" w:rsidRDefault="00605CEF" w:rsidP="00605CEF">
            <w:pPr>
              <w:jc w:val="right"/>
              <w:rPr>
                <w:rFonts w:cs="Arial"/>
                <w:sz w:val="20"/>
                <w:lang w:val="en-US"/>
              </w:rPr>
            </w:pPr>
            <w:r w:rsidRPr="00605CEF">
              <w:rPr>
                <w:sz w:val="20"/>
              </w:rPr>
              <w:t>-393,300</w:t>
            </w:r>
          </w:p>
        </w:tc>
      </w:tr>
      <w:tr w:rsidR="00605CEF" w:rsidRPr="00255B51" w14:paraId="140EA502" w14:textId="77777777" w:rsidTr="008D1198">
        <w:tc>
          <w:tcPr>
            <w:tcW w:w="3539" w:type="dxa"/>
            <w:shd w:val="clear" w:color="auto" w:fill="auto"/>
            <w:vAlign w:val="center"/>
          </w:tcPr>
          <w:p w14:paraId="67B09449" w14:textId="06B4E8D0" w:rsidR="00605CEF" w:rsidRPr="00255B51" w:rsidRDefault="00605CEF" w:rsidP="00605CEF">
            <w:pPr>
              <w:rPr>
                <w:rFonts w:cs="Arial"/>
                <w:sz w:val="20"/>
                <w:lang w:val="en-US"/>
              </w:rPr>
            </w:pPr>
            <w:r w:rsidRPr="00255B51">
              <w:rPr>
                <w:rFonts w:cs="Arial"/>
                <w:color w:val="000000"/>
                <w:sz w:val="20"/>
              </w:rPr>
              <w:t>HRA Hardship Fund</w:t>
            </w:r>
          </w:p>
        </w:tc>
        <w:tc>
          <w:tcPr>
            <w:tcW w:w="1364" w:type="dxa"/>
            <w:shd w:val="clear" w:color="auto" w:fill="auto"/>
            <w:vAlign w:val="center"/>
          </w:tcPr>
          <w:p w14:paraId="7C35965F" w14:textId="6B267AD1" w:rsidR="00605CEF" w:rsidRPr="00255B51" w:rsidRDefault="00605CEF" w:rsidP="00605CEF">
            <w:pPr>
              <w:jc w:val="right"/>
              <w:rPr>
                <w:rFonts w:cs="Arial"/>
                <w:sz w:val="20"/>
                <w:lang w:val="en-US"/>
              </w:rPr>
            </w:pPr>
            <w:r w:rsidRPr="00255B51">
              <w:rPr>
                <w:rFonts w:cs="Arial"/>
                <w:color w:val="000000"/>
                <w:sz w:val="20"/>
              </w:rPr>
              <w:t>-25,000</w:t>
            </w:r>
          </w:p>
        </w:tc>
        <w:tc>
          <w:tcPr>
            <w:tcW w:w="1319" w:type="dxa"/>
            <w:shd w:val="clear" w:color="auto" w:fill="auto"/>
          </w:tcPr>
          <w:p w14:paraId="2ED6C342" w14:textId="170A5304" w:rsidR="00605CEF" w:rsidRPr="00605CEF" w:rsidRDefault="00605CEF" w:rsidP="00605CEF">
            <w:pPr>
              <w:jc w:val="right"/>
              <w:rPr>
                <w:rFonts w:cs="Arial"/>
                <w:sz w:val="20"/>
                <w:lang w:val="en-US"/>
              </w:rPr>
            </w:pPr>
          </w:p>
        </w:tc>
        <w:tc>
          <w:tcPr>
            <w:tcW w:w="1317" w:type="dxa"/>
            <w:shd w:val="clear" w:color="auto" w:fill="auto"/>
          </w:tcPr>
          <w:p w14:paraId="000D817D" w14:textId="021F6F10" w:rsidR="00605CEF" w:rsidRPr="00605CEF" w:rsidRDefault="00605CEF" w:rsidP="00605CEF">
            <w:pPr>
              <w:jc w:val="right"/>
              <w:rPr>
                <w:rFonts w:cs="Arial"/>
                <w:sz w:val="20"/>
                <w:lang w:val="en-US"/>
              </w:rPr>
            </w:pPr>
          </w:p>
        </w:tc>
        <w:tc>
          <w:tcPr>
            <w:tcW w:w="1269" w:type="dxa"/>
            <w:shd w:val="clear" w:color="auto" w:fill="auto"/>
          </w:tcPr>
          <w:p w14:paraId="212D48F7" w14:textId="0AF46B8B" w:rsidR="00605CEF" w:rsidRPr="00605CEF" w:rsidRDefault="00605CEF" w:rsidP="00605CEF">
            <w:pPr>
              <w:jc w:val="right"/>
              <w:rPr>
                <w:rFonts w:cs="Arial"/>
                <w:sz w:val="20"/>
                <w:lang w:val="en-US"/>
              </w:rPr>
            </w:pPr>
          </w:p>
        </w:tc>
        <w:tc>
          <w:tcPr>
            <w:tcW w:w="1393" w:type="dxa"/>
            <w:shd w:val="clear" w:color="auto" w:fill="auto"/>
          </w:tcPr>
          <w:p w14:paraId="6154FA2E" w14:textId="52262910" w:rsidR="00605CEF" w:rsidRPr="00605CEF" w:rsidRDefault="00605CEF" w:rsidP="00605CEF">
            <w:pPr>
              <w:jc w:val="right"/>
              <w:rPr>
                <w:rFonts w:cs="Arial"/>
                <w:sz w:val="20"/>
                <w:lang w:val="en-US"/>
              </w:rPr>
            </w:pPr>
            <w:r w:rsidRPr="00605CEF">
              <w:rPr>
                <w:sz w:val="20"/>
              </w:rPr>
              <w:t>-25,000</w:t>
            </w:r>
          </w:p>
        </w:tc>
      </w:tr>
      <w:tr w:rsidR="00605CEF" w:rsidRPr="00255B51" w14:paraId="64F7D3D9" w14:textId="77777777" w:rsidTr="008D1198">
        <w:tc>
          <w:tcPr>
            <w:tcW w:w="3539" w:type="dxa"/>
            <w:shd w:val="clear" w:color="auto" w:fill="auto"/>
            <w:vAlign w:val="center"/>
          </w:tcPr>
          <w:p w14:paraId="10DCFF97" w14:textId="65543054" w:rsidR="00605CEF" w:rsidRPr="00255B51" w:rsidRDefault="00605CEF" w:rsidP="00605CEF">
            <w:pPr>
              <w:rPr>
                <w:rFonts w:cs="Arial"/>
                <w:sz w:val="20"/>
                <w:lang w:val="en-US"/>
              </w:rPr>
            </w:pPr>
            <w:r w:rsidRPr="00255B51">
              <w:rPr>
                <w:rFonts w:cs="Arial"/>
                <w:color w:val="000000"/>
                <w:sz w:val="20"/>
              </w:rPr>
              <w:t>HRA Regeneration Reserve</w:t>
            </w:r>
          </w:p>
        </w:tc>
        <w:tc>
          <w:tcPr>
            <w:tcW w:w="1364" w:type="dxa"/>
            <w:shd w:val="clear" w:color="auto" w:fill="auto"/>
            <w:vAlign w:val="center"/>
          </w:tcPr>
          <w:p w14:paraId="094610BC" w14:textId="3E42A541" w:rsidR="00605CEF" w:rsidRPr="00255B51" w:rsidRDefault="00605CEF" w:rsidP="00605CEF">
            <w:pPr>
              <w:jc w:val="right"/>
              <w:rPr>
                <w:rFonts w:cs="Arial"/>
                <w:sz w:val="20"/>
                <w:lang w:val="en-US"/>
              </w:rPr>
            </w:pPr>
            <w:r w:rsidRPr="00255B51">
              <w:rPr>
                <w:rFonts w:cs="Arial"/>
                <w:color w:val="000000"/>
                <w:sz w:val="20"/>
              </w:rPr>
              <w:t>-722,200</w:t>
            </w:r>
          </w:p>
        </w:tc>
        <w:tc>
          <w:tcPr>
            <w:tcW w:w="1319" w:type="dxa"/>
            <w:shd w:val="clear" w:color="auto" w:fill="auto"/>
          </w:tcPr>
          <w:p w14:paraId="5FFCBDB5" w14:textId="1D02234E" w:rsidR="00605CEF" w:rsidRPr="00605CEF" w:rsidRDefault="00605CEF" w:rsidP="00605CEF">
            <w:pPr>
              <w:jc w:val="right"/>
              <w:rPr>
                <w:rFonts w:cs="Arial"/>
                <w:sz w:val="20"/>
                <w:lang w:val="en-US"/>
              </w:rPr>
            </w:pPr>
          </w:p>
        </w:tc>
        <w:tc>
          <w:tcPr>
            <w:tcW w:w="1317" w:type="dxa"/>
            <w:shd w:val="clear" w:color="auto" w:fill="auto"/>
          </w:tcPr>
          <w:p w14:paraId="7E06B88B" w14:textId="76112EAA" w:rsidR="00605CEF" w:rsidRPr="00605CEF" w:rsidRDefault="00605CEF" w:rsidP="00605CEF">
            <w:pPr>
              <w:jc w:val="right"/>
              <w:rPr>
                <w:rFonts w:cs="Arial"/>
                <w:sz w:val="20"/>
                <w:lang w:val="en-US"/>
              </w:rPr>
            </w:pPr>
          </w:p>
        </w:tc>
        <w:tc>
          <w:tcPr>
            <w:tcW w:w="1269" w:type="dxa"/>
            <w:shd w:val="clear" w:color="auto" w:fill="auto"/>
          </w:tcPr>
          <w:p w14:paraId="62E2ACFF" w14:textId="0C382CF7" w:rsidR="00605CEF" w:rsidRPr="00605CEF" w:rsidRDefault="00605CEF" w:rsidP="00605CEF">
            <w:pPr>
              <w:jc w:val="right"/>
              <w:rPr>
                <w:rFonts w:cs="Arial"/>
                <w:sz w:val="20"/>
                <w:lang w:val="en-US"/>
              </w:rPr>
            </w:pPr>
          </w:p>
        </w:tc>
        <w:tc>
          <w:tcPr>
            <w:tcW w:w="1393" w:type="dxa"/>
            <w:shd w:val="clear" w:color="auto" w:fill="auto"/>
          </w:tcPr>
          <w:p w14:paraId="2D13A042" w14:textId="44E72744" w:rsidR="00605CEF" w:rsidRPr="00605CEF" w:rsidRDefault="00605CEF" w:rsidP="00605CEF">
            <w:pPr>
              <w:jc w:val="right"/>
              <w:rPr>
                <w:rFonts w:cs="Arial"/>
                <w:sz w:val="20"/>
                <w:lang w:val="en-US"/>
              </w:rPr>
            </w:pPr>
            <w:r w:rsidRPr="00605CEF">
              <w:rPr>
                <w:sz w:val="20"/>
              </w:rPr>
              <w:t>-722,200</w:t>
            </w:r>
          </w:p>
        </w:tc>
      </w:tr>
      <w:tr w:rsidR="00605CEF" w:rsidRPr="00255B51" w14:paraId="021407C8" w14:textId="77777777" w:rsidTr="008D1198">
        <w:tc>
          <w:tcPr>
            <w:tcW w:w="3539" w:type="dxa"/>
            <w:shd w:val="clear" w:color="auto" w:fill="auto"/>
            <w:vAlign w:val="center"/>
          </w:tcPr>
          <w:p w14:paraId="12871DCD" w14:textId="69CEEC44" w:rsidR="00605CEF" w:rsidRPr="00255B51" w:rsidRDefault="00605CEF" w:rsidP="00605CEF">
            <w:pPr>
              <w:rPr>
                <w:rFonts w:cs="Arial"/>
                <w:sz w:val="20"/>
                <w:lang w:val="en-US"/>
              </w:rPr>
            </w:pPr>
            <w:r w:rsidRPr="00255B51">
              <w:rPr>
                <w:rFonts w:cs="Arial"/>
                <w:color w:val="000000"/>
                <w:sz w:val="20"/>
              </w:rPr>
              <w:t>HRA Repair Reserve</w:t>
            </w:r>
          </w:p>
        </w:tc>
        <w:tc>
          <w:tcPr>
            <w:tcW w:w="1364" w:type="dxa"/>
            <w:shd w:val="clear" w:color="auto" w:fill="auto"/>
            <w:vAlign w:val="center"/>
          </w:tcPr>
          <w:p w14:paraId="648EFF83" w14:textId="1DCA75DF" w:rsidR="00605CEF" w:rsidRPr="00255B51" w:rsidRDefault="00605CEF" w:rsidP="00605CEF">
            <w:pPr>
              <w:jc w:val="right"/>
              <w:rPr>
                <w:rFonts w:cs="Arial"/>
                <w:sz w:val="20"/>
                <w:lang w:val="en-US"/>
              </w:rPr>
            </w:pPr>
            <w:r w:rsidRPr="00255B51">
              <w:rPr>
                <w:rFonts w:cs="Arial"/>
                <w:color w:val="000000"/>
                <w:sz w:val="20"/>
              </w:rPr>
              <w:t>-277,428</w:t>
            </w:r>
          </w:p>
        </w:tc>
        <w:tc>
          <w:tcPr>
            <w:tcW w:w="1319" w:type="dxa"/>
            <w:shd w:val="clear" w:color="auto" w:fill="auto"/>
          </w:tcPr>
          <w:p w14:paraId="5CED2DB6" w14:textId="72DA3D2F" w:rsidR="00605CEF" w:rsidRPr="00605CEF" w:rsidRDefault="00605CEF" w:rsidP="00605CEF">
            <w:pPr>
              <w:jc w:val="right"/>
              <w:rPr>
                <w:rFonts w:cs="Arial"/>
                <w:sz w:val="20"/>
                <w:lang w:val="en-US"/>
              </w:rPr>
            </w:pPr>
          </w:p>
        </w:tc>
        <w:tc>
          <w:tcPr>
            <w:tcW w:w="1317" w:type="dxa"/>
            <w:shd w:val="clear" w:color="auto" w:fill="auto"/>
          </w:tcPr>
          <w:p w14:paraId="11FF9941" w14:textId="396A19FA" w:rsidR="00605CEF" w:rsidRPr="00605CEF" w:rsidRDefault="00605CEF" w:rsidP="00605CEF">
            <w:pPr>
              <w:jc w:val="right"/>
              <w:rPr>
                <w:rFonts w:cs="Arial"/>
                <w:sz w:val="20"/>
                <w:lang w:val="en-US"/>
              </w:rPr>
            </w:pPr>
          </w:p>
        </w:tc>
        <w:tc>
          <w:tcPr>
            <w:tcW w:w="1269" w:type="dxa"/>
            <w:shd w:val="clear" w:color="auto" w:fill="auto"/>
          </w:tcPr>
          <w:p w14:paraId="15A708F0" w14:textId="367366DC" w:rsidR="00605CEF" w:rsidRPr="00605CEF" w:rsidRDefault="00605CEF" w:rsidP="00605CEF">
            <w:pPr>
              <w:jc w:val="right"/>
              <w:rPr>
                <w:rFonts w:cs="Arial"/>
                <w:sz w:val="20"/>
                <w:lang w:val="en-US"/>
              </w:rPr>
            </w:pPr>
          </w:p>
        </w:tc>
        <w:tc>
          <w:tcPr>
            <w:tcW w:w="1393" w:type="dxa"/>
            <w:shd w:val="clear" w:color="auto" w:fill="auto"/>
          </w:tcPr>
          <w:p w14:paraId="440EAD1D" w14:textId="52FAC1D1" w:rsidR="00605CEF" w:rsidRPr="00605CEF" w:rsidRDefault="00605CEF" w:rsidP="00605CEF">
            <w:pPr>
              <w:jc w:val="right"/>
              <w:rPr>
                <w:rFonts w:cs="Arial"/>
                <w:sz w:val="20"/>
                <w:lang w:val="en-US"/>
              </w:rPr>
            </w:pPr>
            <w:r w:rsidRPr="00605CEF">
              <w:rPr>
                <w:sz w:val="20"/>
              </w:rPr>
              <w:t>-277,428</w:t>
            </w:r>
          </w:p>
        </w:tc>
      </w:tr>
      <w:tr w:rsidR="00605CEF" w:rsidRPr="00255B51" w14:paraId="2855E675" w14:textId="77777777" w:rsidTr="008D1198">
        <w:tc>
          <w:tcPr>
            <w:tcW w:w="3539" w:type="dxa"/>
            <w:shd w:val="clear" w:color="auto" w:fill="auto"/>
            <w:vAlign w:val="center"/>
          </w:tcPr>
          <w:p w14:paraId="557B39C1" w14:textId="424AE02B" w:rsidR="00605CEF" w:rsidRPr="00255B51" w:rsidRDefault="00605CEF" w:rsidP="00605CEF">
            <w:pPr>
              <w:rPr>
                <w:rFonts w:cs="Arial"/>
                <w:sz w:val="20"/>
                <w:lang w:val="en-US"/>
              </w:rPr>
            </w:pPr>
            <w:r w:rsidRPr="00255B51">
              <w:rPr>
                <w:rFonts w:cs="Arial"/>
                <w:sz w:val="20"/>
              </w:rPr>
              <w:t>Business Risk Reserve</w:t>
            </w:r>
          </w:p>
        </w:tc>
        <w:tc>
          <w:tcPr>
            <w:tcW w:w="1364" w:type="dxa"/>
            <w:shd w:val="clear" w:color="auto" w:fill="auto"/>
            <w:vAlign w:val="center"/>
          </w:tcPr>
          <w:p w14:paraId="7363807F" w14:textId="7B18BBE2" w:rsidR="00605CEF" w:rsidRPr="00255B51" w:rsidRDefault="00605CEF" w:rsidP="00605CEF">
            <w:pPr>
              <w:jc w:val="right"/>
              <w:rPr>
                <w:rFonts w:cs="Arial"/>
                <w:sz w:val="20"/>
                <w:lang w:val="en-US"/>
              </w:rPr>
            </w:pPr>
            <w:r w:rsidRPr="00255B51">
              <w:rPr>
                <w:rFonts w:cs="Arial"/>
                <w:sz w:val="20"/>
              </w:rPr>
              <w:t>-5,350,000</w:t>
            </w:r>
          </w:p>
        </w:tc>
        <w:tc>
          <w:tcPr>
            <w:tcW w:w="1319" w:type="dxa"/>
            <w:shd w:val="clear" w:color="auto" w:fill="auto"/>
          </w:tcPr>
          <w:p w14:paraId="4B4581BF" w14:textId="4E1EC293" w:rsidR="00605CEF" w:rsidRPr="00605CEF" w:rsidRDefault="00605CEF" w:rsidP="00605CEF">
            <w:pPr>
              <w:jc w:val="right"/>
              <w:rPr>
                <w:rFonts w:cs="Arial"/>
                <w:sz w:val="20"/>
                <w:lang w:val="en-US"/>
              </w:rPr>
            </w:pPr>
            <w:r w:rsidRPr="00605CEF">
              <w:rPr>
                <w:sz w:val="20"/>
              </w:rPr>
              <w:t>464,802</w:t>
            </w:r>
          </w:p>
        </w:tc>
        <w:tc>
          <w:tcPr>
            <w:tcW w:w="1317" w:type="dxa"/>
            <w:shd w:val="clear" w:color="auto" w:fill="auto"/>
          </w:tcPr>
          <w:p w14:paraId="448F4EBC" w14:textId="6DCD2817" w:rsidR="00605CEF" w:rsidRPr="00605CEF" w:rsidRDefault="00605CEF" w:rsidP="00605CEF">
            <w:pPr>
              <w:jc w:val="right"/>
              <w:rPr>
                <w:rFonts w:cs="Arial"/>
                <w:sz w:val="20"/>
                <w:lang w:val="en-US"/>
              </w:rPr>
            </w:pPr>
            <w:r w:rsidRPr="00605CEF">
              <w:rPr>
                <w:sz w:val="20"/>
              </w:rPr>
              <w:t>-301,269</w:t>
            </w:r>
          </w:p>
        </w:tc>
        <w:tc>
          <w:tcPr>
            <w:tcW w:w="1269" w:type="dxa"/>
            <w:shd w:val="clear" w:color="auto" w:fill="auto"/>
          </w:tcPr>
          <w:p w14:paraId="48CC4DAD" w14:textId="623FF8C0" w:rsidR="00605CEF" w:rsidRPr="00605CEF" w:rsidRDefault="00605CEF" w:rsidP="00605CEF">
            <w:pPr>
              <w:jc w:val="right"/>
              <w:rPr>
                <w:rFonts w:cs="Arial"/>
                <w:sz w:val="20"/>
                <w:lang w:val="en-US"/>
              </w:rPr>
            </w:pPr>
            <w:r w:rsidRPr="00605CEF">
              <w:rPr>
                <w:sz w:val="20"/>
              </w:rPr>
              <w:t>3,218,269</w:t>
            </w:r>
          </w:p>
        </w:tc>
        <w:tc>
          <w:tcPr>
            <w:tcW w:w="1393" w:type="dxa"/>
            <w:shd w:val="clear" w:color="auto" w:fill="auto"/>
          </w:tcPr>
          <w:p w14:paraId="60CCB558" w14:textId="10B484EC" w:rsidR="00605CEF" w:rsidRPr="00605CEF" w:rsidRDefault="00605CEF" w:rsidP="00605CEF">
            <w:pPr>
              <w:jc w:val="right"/>
              <w:rPr>
                <w:rFonts w:cs="Arial"/>
                <w:sz w:val="20"/>
                <w:lang w:val="en-US"/>
              </w:rPr>
            </w:pPr>
            <w:r w:rsidRPr="00605CEF">
              <w:rPr>
                <w:sz w:val="20"/>
              </w:rPr>
              <w:t>-1,968,198</w:t>
            </w:r>
          </w:p>
        </w:tc>
      </w:tr>
      <w:tr w:rsidR="00605CEF" w:rsidRPr="00255B51" w14:paraId="572C2056" w14:textId="77777777" w:rsidTr="008D1198">
        <w:tc>
          <w:tcPr>
            <w:tcW w:w="3539" w:type="dxa"/>
            <w:shd w:val="clear" w:color="auto" w:fill="auto"/>
            <w:vAlign w:val="center"/>
          </w:tcPr>
          <w:p w14:paraId="0276E927" w14:textId="4D86A7F0" w:rsidR="00605CEF" w:rsidRPr="00255B51" w:rsidRDefault="00605CEF" w:rsidP="00605CEF">
            <w:pPr>
              <w:rPr>
                <w:rFonts w:cs="Arial"/>
                <w:sz w:val="20"/>
                <w:lang w:val="en-US"/>
              </w:rPr>
            </w:pPr>
            <w:r w:rsidRPr="00255B51">
              <w:rPr>
                <w:rFonts w:cs="Arial"/>
                <w:sz w:val="20"/>
              </w:rPr>
              <w:t>Budget Planning Reserve MTFS gap</w:t>
            </w:r>
          </w:p>
        </w:tc>
        <w:tc>
          <w:tcPr>
            <w:tcW w:w="1364" w:type="dxa"/>
            <w:shd w:val="clear" w:color="auto" w:fill="auto"/>
            <w:vAlign w:val="center"/>
          </w:tcPr>
          <w:p w14:paraId="26DB3E0F" w14:textId="7EECBF10" w:rsidR="00605CEF" w:rsidRPr="00255B51" w:rsidRDefault="00605CEF" w:rsidP="00605CEF">
            <w:pPr>
              <w:jc w:val="right"/>
              <w:rPr>
                <w:rFonts w:cs="Arial"/>
                <w:sz w:val="20"/>
                <w:lang w:val="en-US"/>
              </w:rPr>
            </w:pPr>
            <w:r w:rsidRPr="00255B51">
              <w:rPr>
                <w:rFonts w:cs="Arial"/>
                <w:sz w:val="20"/>
              </w:rPr>
              <w:t>-16,688,761</w:t>
            </w:r>
          </w:p>
        </w:tc>
        <w:tc>
          <w:tcPr>
            <w:tcW w:w="1319" w:type="dxa"/>
            <w:shd w:val="clear" w:color="auto" w:fill="auto"/>
          </w:tcPr>
          <w:p w14:paraId="43E88477" w14:textId="785C0F19" w:rsidR="00605CEF" w:rsidRPr="00605CEF" w:rsidRDefault="00605CEF" w:rsidP="00605CEF">
            <w:pPr>
              <w:jc w:val="right"/>
              <w:rPr>
                <w:rFonts w:cs="Arial"/>
                <w:sz w:val="20"/>
                <w:lang w:val="en-US"/>
              </w:rPr>
            </w:pPr>
          </w:p>
        </w:tc>
        <w:tc>
          <w:tcPr>
            <w:tcW w:w="1317" w:type="dxa"/>
            <w:shd w:val="clear" w:color="auto" w:fill="auto"/>
          </w:tcPr>
          <w:p w14:paraId="4A2EB0DB" w14:textId="13861BFE" w:rsidR="00605CEF" w:rsidRPr="00605CEF" w:rsidRDefault="00605CEF" w:rsidP="00605CEF">
            <w:pPr>
              <w:jc w:val="right"/>
              <w:rPr>
                <w:rFonts w:cs="Arial"/>
                <w:sz w:val="20"/>
                <w:lang w:val="en-US"/>
              </w:rPr>
            </w:pPr>
            <w:r w:rsidRPr="00605CEF">
              <w:rPr>
                <w:sz w:val="20"/>
              </w:rPr>
              <w:t>-2,587,014</w:t>
            </w:r>
          </w:p>
        </w:tc>
        <w:tc>
          <w:tcPr>
            <w:tcW w:w="1269" w:type="dxa"/>
            <w:shd w:val="clear" w:color="auto" w:fill="auto"/>
          </w:tcPr>
          <w:p w14:paraId="7C43A369" w14:textId="02CC0A26" w:rsidR="00605CEF" w:rsidRPr="00605CEF" w:rsidRDefault="00605CEF" w:rsidP="00605CEF">
            <w:pPr>
              <w:jc w:val="right"/>
              <w:rPr>
                <w:rFonts w:cs="Arial"/>
                <w:sz w:val="20"/>
                <w:lang w:val="en-US"/>
              </w:rPr>
            </w:pPr>
            <w:r w:rsidRPr="00605CEF">
              <w:rPr>
                <w:sz w:val="20"/>
              </w:rPr>
              <w:t>-2,435,204</w:t>
            </w:r>
          </w:p>
        </w:tc>
        <w:tc>
          <w:tcPr>
            <w:tcW w:w="1393" w:type="dxa"/>
            <w:shd w:val="clear" w:color="auto" w:fill="auto"/>
          </w:tcPr>
          <w:p w14:paraId="49E0FBE3" w14:textId="755A7DD9" w:rsidR="00605CEF" w:rsidRPr="00605CEF" w:rsidRDefault="00605CEF" w:rsidP="00605CEF">
            <w:pPr>
              <w:jc w:val="right"/>
              <w:rPr>
                <w:rFonts w:cs="Arial"/>
                <w:sz w:val="20"/>
                <w:lang w:val="en-US"/>
              </w:rPr>
            </w:pPr>
            <w:r w:rsidRPr="00605CEF">
              <w:rPr>
                <w:sz w:val="20"/>
              </w:rPr>
              <w:t>-21,710,980</w:t>
            </w:r>
          </w:p>
        </w:tc>
      </w:tr>
      <w:tr w:rsidR="00605CEF" w:rsidRPr="00255B51" w14:paraId="3735E946" w14:textId="77777777" w:rsidTr="008D1198">
        <w:tc>
          <w:tcPr>
            <w:tcW w:w="3539" w:type="dxa"/>
            <w:shd w:val="clear" w:color="auto" w:fill="auto"/>
            <w:vAlign w:val="center"/>
          </w:tcPr>
          <w:p w14:paraId="52E15A28" w14:textId="443175B1" w:rsidR="00605CEF" w:rsidRPr="00255B51" w:rsidRDefault="00605CEF" w:rsidP="00605CEF">
            <w:pPr>
              <w:rPr>
                <w:rFonts w:cs="Arial"/>
                <w:sz w:val="20"/>
                <w:lang w:val="en-US"/>
              </w:rPr>
            </w:pPr>
            <w:r w:rsidRPr="00255B51">
              <w:rPr>
                <w:rFonts w:cs="Arial"/>
                <w:sz w:val="20"/>
              </w:rPr>
              <w:t>Capacity Build/ Transformation</w:t>
            </w:r>
          </w:p>
        </w:tc>
        <w:tc>
          <w:tcPr>
            <w:tcW w:w="1364" w:type="dxa"/>
            <w:shd w:val="clear" w:color="auto" w:fill="auto"/>
            <w:vAlign w:val="center"/>
          </w:tcPr>
          <w:p w14:paraId="2A4CA559" w14:textId="5B6AD3A7" w:rsidR="00605CEF" w:rsidRPr="00255B51" w:rsidRDefault="00605CEF" w:rsidP="00605CEF">
            <w:pPr>
              <w:jc w:val="right"/>
              <w:rPr>
                <w:rFonts w:cs="Arial"/>
                <w:sz w:val="20"/>
                <w:lang w:val="en-US"/>
              </w:rPr>
            </w:pPr>
            <w:r w:rsidRPr="00255B51">
              <w:rPr>
                <w:rFonts w:cs="Arial"/>
                <w:sz w:val="20"/>
              </w:rPr>
              <w:t>-2,000,000</w:t>
            </w:r>
          </w:p>
        </w:tc>
        <w:tc>
          <w:tcPr>
            <w:tcW w:w="1319" w:type="dxa"/>
            <w:shd w:val="clear" w:color="auto" w:fill="auto"/>
          </w:tcPr>
          <w:p w14:paraId="597001A0" w14:textId="6FFE545C" w:rsidR="00605CEF" w:rsidRPr="00605CEF" w:rsidRDefault="00605CEF" w:rsidP="00605CEF">
            <w:pPr>
              <w:jc w:val="right"/>
              <w:rPr>
                <w:rFonts w:cs="Arial"/>
                <w:sz w:val="20"/>
                <w:lang w:val="en-US"/>
              </w:rPr>
            </w:pPr>
            <w:r w:rsidRPr="00605CEF">
              <w:rPr>
                <w:sz w:val="20"/>
              </w:rPr>
              <w:t>148,011</w:t>
            </w:r>
          </w:p>
        </w:tc>
        <w:tc>
          <w:tcPr>
            <w:tcW w:w="1317" w:type="dxa"/>
            <w:shd w:val="clear" w:color="auto" w:fill="auto"/>
          </w:tcPr>
          <w:p w14:paraId="38FB3D1A" w14:textId="0AF734FA" w:rsidR="00605CEF" w:rsidRPr="00605CEF" w:rsidRDefault="00605CEF" w:rsidP="00605CEF">
            <w:pPr>
              <w:jc w:val="right"/>
              <w:rPr>
                <w:rFonts w:cs="Arial"/>
                <w:sz w:val="20"/>
                <w:lang w:val="en-US"/>
              </w:rPr>
            </w:pPr>
          </w:p>
        </w:tc>
        <w:tc>
          <w:tcPr>
            <w:tcW w:w="1269" w:type="dxa"/>
            <w:shd w:val="clear" w:color="auto" w:fill="auto"/>
          </w:tcPr>
          <w:p w14:paraId="1963F074" w14:textId="58374936" w:rsidR="00605CEF" w:rsidRPr="00605CEF" w:rsidRDefault="00605CEF" w:rsidP="00605CEF">
            <w:pPr>
              <w:jc w:val="right"/>
              <w:rPr>
                <w:rFonts w:cs="Arial"/>
                <w:sz w:val="20"/>
                <w:lang w:val="en-US"/>
              </w:rPr>
            </w:pPr>
            <w:r w:rsidRPr="00605CEF">
              <w:rPr>
                <w:sz w:val="20"/>
              </w:rPr>
              <w:t>-1,320,663</w:t>
            </w:r>
          </w:p>
        </w:tc>
        <w:tc>
          <w:tcPr>
            <w:tcW w:w="1393" w:type="dxa"/>
            <w:shd w:val="clear" w:color="auto" w:fill="auto"/>
          </w:tcPr>
          <w:p w14:paraId="2A0C5C19" w14:textId="1A59E655" w:rsidR="00605CEF" w:rsidRPr="00605CEF" w:rsidRDefault="00605CEF" w:rsidP="00605CEF">
            <w:pPr>
              <w:jc w:val="right"/>
              <w:rPr>
                <w:rFonts w:cs="Arial"/>
                <w:sz w:val="20"/>
                <w:lang w:val="en-US"/>
              </w:rPr>
            </w:pPr>
            <w:r w:rsidRPr="00605CEF">
              <w:rPr>
                <w:sz w:val="20"/>
              </w:rPr>
              <w:t>-3,172,652</w:t>
            </w:r>
          </w:p>
        </w:tc>
      </w:tr>
      <w:tr w:rsidR="00605CEF" w:rsidRPr="00255B51" w14:paraId="79D7FBEB" w14:textId="77777777" w:rsidTr="008D1198">
        <w:tc>
          <w:tcPr>
            <w:tcW w:w="3539" w:type="dxa"/>
            <w:shd w:val="clear" w:color="auto" w:fill="auto"/>
            <w:vAlign w:val="center"/>
          </w:tcPr>
          <w:p w14:paraId="2A42F321" w14:textId="1D43D9AA" w:rsidR="00605CEF" w:rsidRPr="00255B51" w:rsidRDefault="00605CEF" w:rsidP="00605CEF">
            <w:pPr>
              <w:rPr>
                <w:rFonts w:cs="Arial"/>
                <w:sz w:val="20"/>
                <w:lang w:val="en-US"/>
              </w:rPr>
            </w:pPr>
            <w:r w:rsidRPr="00255B51">
              <w:rPr>
                <w:rFonts w:cs="Arial"/>
                <w:sz w:val="20"/>
              </w:rPr>
              <w:t>MTFS Implementation Reserve</w:t>
            </w:r>
          </w:p>
        </w:tc>
        <w:tc>
          <w:tcPr>
            <w:tcW w:w="1364" w:type="dxa"/>
            <w:shd w:val="clear" w:color="auto" w:fill="auto"/>
            <w:vAlign w:val="center"/>
          </w:tcPr>
          <w:p w14:paraId="65760484" w14:textId="2C469DD6" w:rsidR="00605CEF" w:rsidRPr="00255B51" w:rsidRDefault="00605CEF" w:rsidP="00605CEF">
            <w:pPr>
              <w:jc w:val="right"/>
              <w:rPr>
                <w:rFonts w:cs="Arial"/>
                <w:sz w:val="20"/>
                <w:lang w:val="en-US"/>
              </w:rPr>
            </w:pPr>
            <w:r w:rsidRPr="00255B51">
              <w:rPr>
                <w:rFonts w:cs="Arial"/>
                <w:sz w:val="20"/>
              </w:rPr>
              <w:t>-349,683</w:t>
            </w:r>
          </w:p>
        </w:tc>
        <w:tc>
          <w:tcPr>
            <w:tcW w:w="1319" w:type="dxa"/>
            <w:shd w:val="clear" w:color="auto" w:fill="auto"/>
          </w:tcPr>
          <w:p w14:paraId="7B981963" w14:textId="05E604A7" w:rsidR="00605CEF" w:rsidRPr="00605CEF" w:rsidRDefault="00605CEF" w:rsidP="00605CEF">
            <w:pPr>
              <w:jc w:val="right"/>
              <w:rPr>
                <w:rFonts w:cs="Arial"/>
                <w:sz w:val="20"/>
                <w:lang w:val="en-US"/>
              </w:rPr>
            </w:pPr>
          </w:p>
        </w:tc>
        <w:tc>
          <w:tcPr>
            <w:tcW w:w="1317" w:type="dxa"/>
            <w:shd w:val="clear" w:color="auto" w:fill="auto"/>
          </w:tcPr>
          <w:p w14:paraId="1512D837" w14:textId="644D2FDD" w:rsidR="00605CEF" w:rsidRPr="00605CEF" w:rsidRDefault="00605CEF" w:rsidP="00605CEF">
            <w:pPr>
              <w:jc w:val="right"/>
              <w:rPr>
                <w:rFonts w:cs="Arial"/>
                <w:sz w:val="20"/>
                <w:lang w:val="en-US"/>
              </w:rPr>
            </w:pPr>
          </w:p>
        </w:tc>
        <w:tc>
          <w:tcPr>
            <w:tcW w:w="1269" w:type="dxa"/>
            <w:shd w:val="clear" w:color="auto" w:fill="auto"/>
          </w:tcPr>
          <w:p w14:paraId="0EFD632A" w14:textId="206D9C6A" w:rsidR="00605CEF" w:rsidRPr="00605CEF" w:rsidRDefault="00605CEF" w:rsidP="00605CEF">
            <w:pPr>
              <w:jc w:val="right"/>
              <w:rPr>
                <w:rFonts w:cs="Arial"/>
                <w:sz w:val="20"/>
                <w:lang w:val="en-US"/>
              </w:rPr>
            </w:pPr>
            <w:r w:rsidRPr="00605CEF">
              <w:rPr>
                <w:sz w:val="20"/>
              </w:rPr>
              <w:t>349,683</w:t>
            </w:r>
          </w:p>
        </w:tc>
        <w:tc>
          <w:tcPr>
            <w:tcW w:w="1393" w:type="dxa"/>
            <w:shd w:val="clear" w:color="auto" w:fill="auto"/>
          </w:tcPr>
          <w:p w14:paraId="29D20A0A" w14:textId="787B45C6" w:rsidR="00605CEF" w:rsidRPr="00605CEF" w:rsidRDefault="00605CEF" w:rsidP="00605CEF">
            <w:pPr>
              <w:jc w:val="right"/>
              <w:rPr>
                <w:rFonts w:cs="Arial"/>
                <w:sz w:val="20"/>
                <w:lang w:val="en-US"/>
              </w:rPr>
            </w:pPr>
            <w:r w:rsidRPr="00605CEF">
              <w:rPr>
                <w:sz w:val="20"/>
              </w:rPr>
              <w:t>0</w:t>
            </w:r>
          </w:p>
        </w:tc>
      </w:tr>
      <w:tr w:rsidR="00605CEF" w:rsidRPr="00255B51" w14:paraId="424DDE05" w14:textId="77777777" w:rsidTr="008D1198">
        <w:tc>
          <w:tcPr>
            <w:tcW w:w="3539" w:type="dxa"/>
            <w:shd w:val="clear" w:color="auto" w:fill="auto"/>
            <w:vAlign w:val="center"/>
          </w:tcPr>
          <w:p w14:paraId="6DE861DA" w14:textId="4F020B60" w:rsidR="00605CEF" w:rsidRPr="00255B51" w:rsidRDefault="00605CEF" w:rsidP="00605CEF">
            <w:pPr>
              <w:rPr>
                <w:rFonts w:cs="Arial"/>
                <w:sz w:val="20"/>
                <w:lang w:val="en-US"/>
              </w:rPr>
            </w:pPr>
            <w:r w:rsidRPr="00255B51">
              <w:rPr>
                <w:rFonts w:cs="Arial"/>
                <w:color w:val="000000"/>
                <w:sz w:val="20"/>
              </w:rPr>
              <w:t>NEW 1 Hour Free Parking Reserve</w:t>
            </w:r>
          </w:p>
        </w:tc>
        <w:tc>
          <w:tcPr>
            <w:tcW w:w="1364" w:type="dxa"/>
            <w:shd w:val="clear" w:color="auto" w:fill="auto"/>
            <w:vAlign w:val="center"/>
          </w:tcPr>
          <w:p w14:paraId="06FECF3A" w14:textId="2C21F15C" w:rsidR="00605CEF" w:rsidRPr="00255B51" w:rsidRDefault="00605CEF" w:rsidP="00605CEF">
            <w:pPr>
              <w:jc w:val="right"/>
              <w:rPr>
                <w:rFonts w:cs="Arial"/>
                <w:sz w:val="20"/>
                <w:lang w:val="en-US"/>
              </w:rPr>
            </w:pPr>
            <w:r w:rsidRPr="00255B51">
              <w:rPr>
                <w:rFonts w:cs="Arial"/>
                <w:color w:val="000000"/>
                <w:sz w:val="20"/>
              </w:rPr>
              <w:t> </w:t>
            </w:r>
          </w:p>
        </w:tc>
        <w:tc>
          <w:tcPr>
            <w:tcW w:w="1319" w:type="dxa"/>
            <w:shd w:val="clear" w:color="auto" w:fill="auto"/>
          </w:tcPr>
          <w:p w14:paraId="78608E40" w14:textId="2C30C347" w:rsidR="00605CEF" w:rsidRPr="00605CEF" w:rsidRDefault="00605CEF" w:rsidP="00605CEF">
            <w:pPr>
              <w:jc w:val="right"/>
              <w:rPr>
                <w:rFonts w:cs="Arial"/>
                <w:sz w:val="20"/>
                <w:lang w:val="en-US"/>
              </w:rPr>
            </w:pPr>
          </w:p>
        </w:tc>
        <w:tc>
          <w:tcPr>
            <w:tcW w:w="1317" w:type="dxa"/>
            <w:shd w:val="clear" w:color="auto" w:fill="auto"/>
          </w:tcPr>
          <w:p w14:paraId="2B3E3792" w14:textId="65C0487E" w:rsidR="00605CEF" w:rsidRPr="00605CEF" w:rsidRDefault="00605CEF" w:rsidP="00605CEF">
            <w:pPr>
              <w:jc w:val="right"/>
              <w:rPr>
                <w:rFonts w:cs="Arial"/>
                <w:sz w:val="20"/>
                <w:lang w:val="en-US"/>
              </w:rPr>
            </w:pPr>
          </w:p>
        </w:tc>
        <w:tc>
          <w:tcPr>
            <w:tcW w:w="1269" w:type="dxa"/>
            <w:shd w:val="clear" w:color="auto" w:fill="auto"/>
          </w:tcPr>
          <w:p w14:paraId="0CE69B82" w14:textId="3EA197C8" w:rsidR="00605CEF" w:rsidRPr="00605CEF" w:rsidRDefault="00605CEF" w:rsidP="00605CEF">
            <w:pPr>
              <w:jc w:val="right"/>
              <w:rPr>
                <w:rFonts w:cs="Arial"/>
                <w:sz w:val="20"/>
                <w:lang w:val="en-US"/>
              </w:rPr>
            </w:pPr>
            <w:r w:rsidRPr="00605CEF">
              <w:rPr>
                <w:sz w:val="20"/>
              </w:rPr>
              <w:t>-624,000</w:t>
            </w:r>
          </w:p>
        </w:tc>
        <w:tc>
          <w:tcPr>
            <w:tcW w:w="1393" w:type="dxa"/>
            <w:shd w:val="clear" w:color="auto" w:fill="auto"/>
          </w:tcPr>
          <w:p w14:paraId="05E877F0" w14:textId="77DE4B2D" w:rsidR="00605CEF" w:rsidRPr="00605CEF" w:rsidRDefault="00605CEF" w:rsidP="00605CEF">
            <w:pPr>
              <w:jc w:val="right"/>
              <w:rPr>
                <w:rFonts w:cs="Arial"/>
                <w:sz w:val="20"/>
                <w:lang w:val="en-US"/>
              </w:rPr>
            </w:pPr>
            <w:r w:rsidRPr="00605CEF">
              <w:rPr>
                <w:sz w:val="20"/>
              </w:rPr>
              <w:t>-624,000</w:t>
            </w:r>
          </w:p>
        </w:tc>
      </w:tr>
      <w:tr w:rsidR="00605CEF" w:rsidRPr="00255B51" w14:paraId="693DDDF4" w14:textId="77777777" w:rsidTr="008D1198">
        <w:tc>
          <w:tcPr>
            <w:tcW w:w="3539" w:type="dxa"/>
            <w:shd w:val="clear" w:color="auto" w:fill="auto"/>
            <w:vAlign w:val="center"/>
          </w:tcPr>
          <w:p w14:paraId="404B499F" w14:textId="1C7B39B2" w:rsidR="00605CEF" w:rsidRPr="00255B51" w:rsidRDefault="00605CEF" w:rsidP="00605CEF">
            <w:pPr>
              <w:rPr>
                <w:rFonts w:cs="Arial"/>
                <w:sz w:val="20"/>
                <w:lang w:val="en-US"/>
              </w:rPr>
            </w:pPr>
            <w:r w:rsidRPr="00255B51">
              <w:rPr>
                <w:rFonts w:cs="Arial"/>
                <w:color w:val="000000"/>
                <w:sz w:val="20"/>
              </w:rPr>
              <w:t>NEW Insurance Reserve</w:t>
            </w:r>
          </w:p>
        </w:tc>
        <w:tc>
          <w:tcPr>
            <w:tcW w:w="1364" w:type="dxa"/>
            <w:shd w:val="clear" w:color="auto" w:fill="auto"/>
            <w:vAlign w:val="center"/>
          </w:tcPr>
          <w:p w14:paraId="23543081" w14:textId="2D352F5D" w:rsidR="00605CEF" w:rsidRPr="00255B51" w:rsidRDefault="00605CEF" w:rsidP="00605CEF">
            <w:pPr>
              <w:jc w:val="right"/>
              <w:rPr>
                <w:rFonts w:cs="Arial"/>
                <w:sz w:val="20"/>
                <w:lang w:val="en-US"/>
              </w:rPr>
            </w:pPr>
            <w:r w:rsidRPr="00255B51">
              <w:rPr>
                <w:rFonts w:cs="Arial"/>
                <w:color w:val="000000"/>
                <w:sz w:val="20"/>
              </w:rPr>
              <w:t> </w:t>
            </w:r>
          </w:p>
        </w:tc>
        <w:tc>
          <w:tcPr>
            <w:tcW w:w="1319" w:type="dxa"/>
            <w:shd w:val="clear" w:color="auto" w:fill="auto"/>
          </w:tcPr>
          <w:p w14:paraId="6FD5933C" w14:textId="25F6F024" w:rsidR="00605CEF" w:rsidRPr="00605CEF" w:rsidRDefault="00605CEF" w:rsidP="00605CEF">
            <w:pPr>
              <w:jc w:val="right"/>
              <w:rPr>
                <w:rFonts w:cs="Arial"/>
                <w:sz w:val="20"/>
                <w:lang w:val="en-US"/>
              </w:rPr>
            </w:pPr>
          </w:p>
        </w:tc>
        <w:tc>
          <w:tcPr>
            <w:tcW w:w="1317" w:type="dxa"/>
            <w:shd w:val="clear" w:color="auto" w:fill="auto"/>
          </w:tcPr>
          <w:p w14:paraId="6F7E64D9" w14:textId="4FE9AF27" w:rsidR="00605CEF" w:rsidRPr="00605CEF" w:rsidRDefault="00605CEF" w:rsidP="00605CEF">
            <w:pPr>
              <w:jc w:val="right"/>
              <w:rPr>
                <w:rFonts w:cs="Arial"/>
                <w:sz w:val="20"/>
                <w:lang w:val="en-US"/>
              </w:rPr>
            </w:pPr>
            <w:r w:rsidRPr="00605CEF">
              <w:rPr>
                <w:sz w:val="20"/>
              </w:rPr>
              <w:t>-959,318</w:t>
            </w:r>
          </w:p>
        </w:tc>
        <w:tc>
          <w:tcPr>
            <w:tcW w:w="1269" w:type="dxa"/>
            <w:shd w:val="clear" w:color="auto" w:fill="auto"/>
          </w:tcPr>
          <w:p w14:paraId="5EEFC301" w14:textId="52F1430F" w:rsidR="00605CEF" w:rsidRPr="00605CEF" w:rsidRDefault="00605CEF" w:rsidP="00605CEF">
            <w:pPr>
              <w:jc w:val="right"/>
              <w:rPr>
                <w:rFonts w:cs="Arial"/>
                <w:sz w:val="20"/>
                <w:lang w:val="en-US"/>
              </w:rPr>
            </w:pPr>
          </w:p>
        </w:tc>
        <w:tc>
          <w:tcPr>
            <w:tcW w:w="1393" w:type="dxa"/>
            <w:shd w:val="clear" w:color="auto" w:fill="auto"/>
          </w:tcPr>
          <w:p w14:paraId="2F18E60A" w14:textId="688D7449" w:rsidR="00605CEF" w:rsidRPr="00605CEF" w:rsidRDefault="00605CEF" w:rsidP="00605CEF">
            <w:pPr>
              <w:jc w:val="right"/>
              <w:rPr>
                <w:rFonts w:cs="Arial"/>
                <w:sz w:val="20"/>
                <w:lang w:val="en-US"/>
              </w:rPr>
            </w:pPr>
            <w:r w:rsidRPr="00605CEF">
              <w:rPr>
                <w:sz w:val="20"/>
              </w:rPr>
              <w:t>-959,318</w:t>
            </w:r>
          </w:p>
        </w:tc>
      </w:tr>
      <w:tr w:rsidR="00605CEF" w:rsidRPr="00255B51" w14:paraId="772BB818" w14:textId="77777777" w:rsidTr="008D1198">
        <w:tc>
          <w:tcPr>
            <w:tcW w:w="3539" w:type="dxa"/>
            <w:shd w:val="clear" w:color="auto" w:fill="auto"/>
            <w:vAlign w:val="center"/>
          </w:tcPr>
          <w:p w14:paraId="0578CF0F" w14:textId="3E6110A5" w:rsidR="00605CEF" w:rsidRPr="00255B51" w:rsidRDefault="00605CEF" w:rsidP="00605CEF">
            <w:pPr>
              <w:rPr>
                <w:rFonts w:cs="Arial"/>
                <w:sz w:val="20"/>
                <w:lang w:val="en-US"/>
              </w:rPr>
            </w:pPr>
            <w:r w:rsidRPr="00255B51">
              <w:rPr>
                <w:rFonts w:cs="Arial"/>
                <w:color w:val="000000"/>
                <w:sz w:val="20"/>
              </w:rPr>
              <w:t>NEW Mortuary Reserve</w:t>
            </w:r>
          </w:p>
        </w:tc>
        <w:tc>
          <w:tcPr>
            <w:tcW w:w="1364" w:type="dxa"/>
            <w:shd w:val="clear" w:color="auto" w:fill="auto"/>
            <w:vAlign w:val="center"/>
          </w:tcPr>
          <w:p w14:paraId="06AC17C4" w14:textId="6C66CD90" w:rsidR="00605CEF" w:rsidRPr="00255B51" w:rsidRDefault="00605CEF" w:rsidP="00605CEF">
            <w:pPr>
              <w:jc w:val="right"/>
              <w:rPr>
                <w:rFonts w:cs="Arial"/>
                <w:sz w:val="20"/>
                <w:lang w:val="en-US"/>
              </w:rPr>
            </w:pPr>
            <w:r w:rsidRPr="00255B51">
              <w:rPr>
                <w:rFonts w:cs="Arial"/>
                <w:color w:val="000000"/>
                <w:sz w:val="20"/>
              </w:rPr>
              <w:t> </w:t>
            </w:r>
          </w:p>
        </w:tc>
        <w:tc>
          <w:tcPr>
            <w:tcW w:w="1319" w:type="dxa"/>
            <w:shd w:val="clear" w:color="auto" w:fill="auto"/>
          </w:tcPr>
          <w:p w14:paraId="13187F37" w14:textId="0EFB93BD" w:rsidR="00605CEF" w:rsidRPr="00605CEF" w:rsidRDefault="00605CEF" w:rsidP="00605CEF">
            <w:pPr>
              <w:jc w:val="right"/>
              <w:rPr>
                <w:rFonts w:cs="Arial"/>
                <w:sz w:val="20"/>
                <w:lang w:val="en-US"/>
              </w:rPr>
            </w:pPr>
            <w:r w:rsidRPr="00605CEF">
              <w:rPr>
                <w:sz w:val="20"/>
              </w:rPr>
              <w:t>-500,000</w:t>
            </w:r>
          </w:p>
        </w:tc>
        <w:tc>
          <w:tcPr>
            <w:tcW w:w="1317" w:type="dxa"/>
            <w:shd w:val="clear" w:color="auto" w:fill="auto"/>
          </w:tcPr>
          <w:p w14:paraId="2DD51F9F" w14:textId="645F8449" w:rsidR="00605CEF" w:rsidRPr="00605CEF" w:rsidRDefault="00605CEF" w:rsidP="00605CEF">
            <w:pPr>
              <w:jc w:val="right"/>
              <w:rPr>
                <w:rFonts w:cs="Arial"/>
                <w:sz w:val="20"/>
                <w:lang w:val="en-US"/>
              </w:rPr>
            </w:pPr>
          </w:p>
        </w:tc>
        <w:tc>
          <w:tcPr>
            <w:tcW w:w="1269" w:type="dxa"/>
            <w:shd w:val="clear" w:color="auto" w:fill="auto"/>
          </w:tcPr>
          <w:p w14:paraId="642AEAE8" w14:textId="3F62E16D" w:rsidR="00605CEF" w:rsidRPr="00605CEF" w:rsidRDefault="00605CEF" w:rsidP="00605CEF">
            <w:pPr>
              <w:jc w:val="right"/>
              <w:rPr>
                <w:rFonts w:cs="Arial"/>
                <w:sz w:val="20"/>
                <w:lang w:val="en-US"/>
              </w:rPr>
            </w:pPr>
          </w:p>
        </w:tc>
        <w:tc>
          <w:tcPr>
            <w:tcW w:w="1393" w:type="dxa"/>
            <w:shd w:val="clear" w:color="auto" w:fill="auto"/>
          </w:tcPr>
          <w:p w14:paraId="5D829F72" w14:textId="6C4383F0" w:rsidR="00605CEF" w:rsidRPr="00605CEF" w:rsidRDefault="00605CEF" w:rsidP="00605CEF">
            <w:pPr>
              <w:jc w:val="right"/>
              <w:rPr>
                <w:rFonts w:cs="Arial"/>
                <w:sz w:val="20"/>
                <w:lang w:val="en-US"/>
              </w:rPr>
            </w:pPr>
            <w:r w:rsidRPr="00605CEF">
              <w:rPr>
                <w:sz w:val="20"/>
              </w:rPr>
              <w:t>-500,000</w:t>
            </w:r>
          </w:p>
        </w:tc>
      </w:tr>
      <w:tr w:rsidR="00605CEF" w:rsidRPr="00255B51" w14:paraId="04CE8BBF" w14:textId="77777777" w:rsidTr="008D1198">
        <w:tc>
          <w:tcPr>
            <w:tcW w:w="3539" w:type="dxa"/>
            <w:shd w:val="clear" w:color="auto" w:fill="auto"/>
            <w:vAlign w:val="center"/>
          </w:tcPr>
          <w:p w14:paraId="63426F32" w14:textId="2CC85F83" w:rsidR="00605CEF" w:rsidRPr="00255B51" w:rsidRDefault="00605CEF" w:rsidP="00605CEF">
            <w:pPr>
              <w:rPr>
                <w:rFonts w:cs="Arial"/>
                <w:sz w:val="20"/>
                <w:lang w:val="en-US"/>
              </w:rPr>
            </w:pPr>
            <w:r w:rsidRPr="00255B51">
              <w:rPr>
                <w:rFonts w:cs="Arial"/>
                <w:color w:val="000000"/>
                <w:sz w:val="20"/>
              </w:rPr>
              <w:t>NEW 3G Pitch</w:t>
            </w:r>
          </w:p>
        </w:tc>
        <w:tc>
          <w:tcPr>
            <w:tcW w:w="1364" w:type="dxa"/>
            <w:shd w:val="clear" w:color="auto" w:fill="auto"/>
            <w:vAlign w:val="center"/>
          </w:tcPr>
          <w:p w14:paraId="06B0C262" w14:textId="6AA8D447" w:rsidR="00605CEF" w:rsidRPr="00255B51" w:rsidRDefault="00605CEF" w:rsidP="00605CEF">
            <w:pPr>
              <w:jc w:val="right"/>
              <w:rPr>
                <w:rFonts w:cs="Arial"/>
                <w:sz w:val="20"/>
                <w:lang w:val="en-US"/>
              </w:rPr>
            </w:pPr>
          </w:p>
        </w:tc>
        <w:tc>
          <w:tcPr>
            <w:tcW w:w="1319" w:type="dxa"/>
            <w:shd w:val="clear" w:color="auto" w:fill="auto"/>
          </w:tcPr>
          <w:p w14:paraId="461DEEAF" w14:textId="5212747F" w:rsidR="00605CEF" w:rsidRPr="00605CEF" w:rsidRDefault="00605CEF" w:rsidP="00605CEF">
            <w:pPr>
              <w:jc w:val="right"/>
              <w:rPr>
                <w:rFonts w:cs="Arial"/>
                <w:sz w:val="20"/>
                <w:lang w:val="en-US"/>
              </w:rPr>
            </w:pPr>
            <w:r w:rsidRPr="00605CEF">
              <w:rPr>
                <w:sz w:val="20"/>
              </w:rPr>
              <w:t>-25,000</w:t>
            </w:r>
          </w:p>
        </w:tc>
        <w:tc>
          <w:tcPr>
            <w:tcW w:w="1317" w:type="dxa"/>
            <w:shd w:val="clear" w:color="auto" w:fill="auto"/>
          </w:tcPr>
          <w:p w14:paraId="055A9B8D" w14:textId="290C1078" w:rsidR="00605CEF" w:rsidRPr="00605CEF" w:rsidRDefault="00605CEF" w:rsidP="00605CEF">
            <w:pPr>
              <w:jc w:val="right"/>
              <w:rPr>
                <w:rFonts w:cs="Arial"/>
                <w:sz w:val="20"/>
                <w:lang w:val="en-US"/>
              </w:rPr>
            </w:pPr>
          </w:p>
        </w:tc>
        <w:tc>
          <w:tcPr>
            <w:tcW w:w="1269" w:type="dxa"/>
            <w:shd w:val="clear" w:color="auto" w:fill="auto"/>
          </w:tcPr>
          <w:p w14:paraId="000E19E3" w14:textId="4EE08763" w:rsidR="00605CEF" w:rsidRPr="00605CEF" w:rsidRDefault="00605CEF" w:rsidP="00605CEF">
            <w:pPr>
              <w:jc w:val="right"/>
              <w:rPr>
                <w:rFonts w:cs="Arial"/>
                <w:sz w:val="20"/>
                <w:lang w:val="en-US"/>
              </w:rPr>
            </w:pPr>
          </w:p>
        </w:tc>
        <w:tc>
          <w:tcPr>
            <w:tcW w:w="1393" w:type="dxa"/>
            <w:shd w:val="clear" w:color="auto" w:fill="auto"/>
          </w:tcPr>
          <w:p w14:paraId="3803CCA4" w14:textId="7ADE85DE" w:rsidR="00605CEF" w:rsidRPr="00605CEF" w:rsidRDefault="00605CEF" w:rsidP="00605CEF">
            <w:pPr>
              <w:jc w:val="right"/>
              <w:rPr>
                <w:rFonts w:cs="Arial"/>
                <w:sz w:val="20"/>
                <w:lang w:val="en-US"/>
              </w:rPr>
            </w:pPr>
            <w:r w:rsidRPr="00605CEF">
              <w:rPr>
                <w:sz w:val="20"/>
              </w:rPr>
              <w:t>-25,000</w:t>
            </w:r>
          </w:p>
        </w:tc>
      </w:tr>
      <w:tr w:rsidR="00605CEF" w:rsidRPr="00255B51" w14:paraId="5FF43329" w14:textId="77777777" w:rsidTr="008D1198">
        <w:tc>
          <w:tcPr>
            <w:tcW w:w="3539" w:type="dxa"/>
            <w:shd w:val="clear" w:color="auto" w:fill="auto"/>
            <w:vAlign w:val="center"/>
          </w:tcPr>
          <w:p w14:paraId="02D3C92D" w14:textId="1E04E8B4" w:rsidR="00605CEF" w:rsidRPr="00255B51" w:rsidRDefault="00605CEF" w:rsidP="00605CEF">
            <w:pPr>
              <w:rPr>
                <w:rFonts w:cs="Arial"/>
                <w:sz w:val="20"/>
                <w:lang w:val="en-US"/>
              </w:rPr>
            </w:pPr>
            <w:r w:rsidRPr="00255B51">
              <w:rPr>
                <w:rFonts w:cs="Arial"/>
                <w:b/>
                <w:bCs/>
                <w:sz w:val="20"/>
              </w:rPr>
              <w:t xml:space="preserve">Total </w:t>
            </w:r>
            <w:proofErr w:type="spellStart"/>
            <w:proofErr w:type="gramStart"/>
            <w:r w:rsidRPr="00255B51">
              <w:rPr>
                <w:rFonts w:cs="Arial"/>
                <w:b/>
                <w:bCs/>
                <w:sz w:val="20"/>
              </w:rPr>
              <w:t>non General</w:t>
            </w:r>
            <w:proofErr w:type="spellEnd"/>
            <w:proofErr w:type="gramEnd"/>
            <w:r w:rsidRPr="00255B51">
              <w:rPr>
                <w:rFonts w:cs="Arial"/>
                <w:b/>
                <w:bCs/>
                <w:sz w:val="20"/>
              </w:rPr>
              <w:t xml:space="preserve"> Fund Reserves</w:t>
            </w:r>
          </w:p>
        </w:tc>
        <w:tc>
          <w:tcPr>
            <w:tcW w:w="1364" w:type="dxa"/>
            <w:shd w:val="clear" w:color="auto" w:fill="auto"/>
            <w:vAlign w:val="center"/>
          </w:tcPr>
          <w:p w14:paraId="11D96BF6" w14:textId="0990C28E" w:rsidR="00605CEF" w:rsidRPr="00605CEF" w:rsidRDefault="00605CEF" w:rsidP="00605CEF">
            <w:pPr>
              <w:jc w:val="right"/>
              <w:rPr>
                <w:rFonts w:cs="Arial"/>
                <w:b/>
                <w:bCs/>
                <w:sz w:val="20"/>
                <w:lang w:val="en-US"/>
              </w:rPr>
            </w:pPr>
            <w:r w:rsidRPr="00605CEF">
              <w:rPr>
                <w:rFonts w:cs="Arial"/>
                <w:b/>
                <w:bCs/>
                <w:sz w:val="20"/>
              </w:rPr>
              <w:t>-64,882,826</w:t>
            </w:r>
          </w:p>
        </w:tc>
        <w:tc>
          <w:tcPr>
            <w:tcW w:w="1319" w:type="dxa"/>
            <w:shd w:val="clear" w:color="auto" w:fill="auto"/>
          </w:tcPr>
          <w:p w14:paraId="5D0F8114" w14:textId="53B9AC6D" w:rsidR="00605CEF" w:rsidRPr="00605CEF" w:rsidRDefault="00605CEF" w:rsidP="00605CEF">
            <w:pPr>
              <w:jc w:val="right"/>
              <w:rPr>
                <w:rFonts w:cs="Arial"/>
                <w:b/>
                <w:bCs/>
                <w:sz w:val="20"/>
                <w:lang w:val="en-US"/>
              </w:rPr>
            </w:pPr>
            <w:r w:rsidRPr="00605CEF">
              <w:rPr>
                <w:b/>
                <w:bCs/>
                <w:sz w:val="20"/>
              </w:rPr>
              <w:t>-5,834,458</w:t>
            </w:r>
          </w:p>
        </w:tc>
        <w:tc>
          <w:tcPr>
            <w:tcW w:w="1317" w:type="dxa"/>
            <w:shd w:val="clear" w:color="auto" w:fill="auto"/>
          </w:tcPr>
          <w:p w14:paraId="36D7BC66" w14:textId="6F9DCC09" w:rsidR="00605CEF" w:rsidRPr="00605CEF" w:rsidRDefault="00605CEF" w:rsidP="00605CEF">
            <w:pPr>
              <w:jc w:val="right"/>
              <w:rPr>
                <w:rFonts w:cs="Arial"/>
                <w:b/>
                <w:bCs/>
                <w:sz w:val="20"/>
                <w:lang w:val="en-US"/>
              </w:rPr>
            </w:pPr>
            <w:r w:rsidRPr="00605CEF">
              <w:rPr>
                <w:b/>
                <w:bCs/>
                <w:sz w:val="20"/>
              </w:rPr>
              <w:t>2,039,277</w:t>
            </w:r>
          </w:p>
        </w:tc>
        <w:tc>
          <w:tcPr>
            <w:tcW w:w="1269" w:type="dxa"/>
            <w:shd w:val="clear" w:color="auto" w:fill="auto"/>
          </w:tcPr>
          <w:p w14:paraId="0D63709F" w14:textId="669C59AC" w:rsidR="00605CEF" w:rsidRPr="00605CEF" w:rsidRDefault="00605CEF" w:rsidP="00605CEF">
            <w:pPr>
              <w:jc w:val="right"/>
              <w:rPr>
                <w:rFonts w:cs="Arial"/>
                <w:b/>
                <w:bCs/>
                <w:sz w:val="20"/>
                <w:lang w:val="en-US"/>
              </w:rPr>
            </w:pPr>
            <w:r w:rsidRPr="00605CEF">
              <w:rPr>
                <w:b/>
                <w:bCs/>
                <w:sz w:val="20"/>
              </w:rPr>
              <w:t>2,065,298</w:t>
            </w:r>
          </w:p>
        </w:tc>
        <w:tc>
          <w:tcPr>
            <w:tcW w:w="1393" w:type="dxa"/>
            <w:shd w:val="clear" w:color="auto" w:fill="auto"/>
          </w:tcPr>
          <w:p w14:paraId="3AE435E4" w14:textId="1A5DD70F" w:rsidR="00605CEF" w:rsidRPr="00605CEF" w:rsidRDefault="00605CEF" w:rsidP="00605CEF">
            <w:pPr>
              <w:jc w:val="right"/>
              <w:rPr>
                <w:rFonts w:cs="Arial"/>
                <w:b/>
                <w:bCs/>
                <w:sz w:val="20"/>
                <w:lang w:val="en-US"/>
              </w:rPr>
            </w:pPr>
            <w:r w:rsidRPr="00605CEF">
              <w:rPr>
                <w:b/>
                <w:bCs/>
                <w:sz w:val="20"/>
              </w:rPr>
              <w:t>-66,612,708</w:t>
            </w:r>
          </w:p>
        </w:tc>
      </w:tr>
      <w:tr w:rsidR="00255B51" w:rsidRPr="00255B51" w14:paraId="6A2621A1" w14:textId="77777777" w:rsidTr="00255B51">
        <w:tc>
          <w:tcPr>
            <w:tcW w:w="3539" w:type="dxa"/>
            <w:shd w:val="clear" w:color="auto" w:fill="auto"/>
            <w:vAlign w:val="center"/>
          </w:tcPr>
          <w:p w14:paraId="365B82BD" w14:textId="04DA96A7" w:rsidR="00255B51" w:rsidRPr="00255B51" w:rsidRDefault="00255B51" w:rsidP="00255B51">
            <w:pPr>
              <w:rPr>
                <w:rFonts w:cs="Arial"/>
                <w:sz w:val="20"/>
                <w:lang w:val="en-US"/>
              </w:rPr>
            </w:pPr>
          </w:p>
        </w:tc>
        <w:tc>
          <w:tcPr>
            <w:tcW w:w="1364" w:type="dxa"/>
            <w:shd w:val="clear" w:color="auto" w:fill="auto"/>
            <w:vAlign w:val="center"/>
          </w:tcPr>
          <w:p w14:paraId="6FB35424" w14:textId="2D2F263C" w:rsidR="00255B51" w:rsidRPr="00255B51" w:rsidRDefault="00255B51" w:rsidP="00255B51">
            <w:pPr>
              <w:jc w:val="right"/>
              <w:rPr>
                <w:rFonts w:cs="Arial"/>
                <w:sz w:val="20"/>
                <w:lang w:val="en-US"/>
              </w:rPr>
            </w:pPr>
          </w:p>
        </w:tc>
        <w:tc>
          <w:tcPr>
            <w:tcW w:w="1319" w:type="dxa"/>
            <w:shd w:val="clear" w:color="auto" w:fill="auto"/>
            <w:vAlign w:val="center"/>
          </w:tcPr>
          <w:p w14:paraId="4DAFCDDB" w14:textId="0CA660D7" w:rsidR="00255B51" w:rsidRPr="00255B51" w:rsidRDefault="00255B51" w:rsidP="00255B51">
            <w:pPr>
              <w:jc w:val="right"/>
              <w:rPr>
                <w:rFonts w:cs="Arial"/>
                <w:sz w:val="20"/>
                <w:lang w:val="en-US"/>
              </w:rPr>
            </w:pPr>
            <w:r w:rsidRPr="00255B51">
              <w:rPr>
                <w:rFonts w:cs="Arial"/>
                <w:sz w:val="20"/>
              </w:rPr>
              <w:t> </w:t>
            </w:r>
          </w:p>
        </w:tc>
        <w:tc>
          <w:tcPr>
            <w:tcW w:w="1317" w:type="dxa"/>
            <w:shd w:val="clear" w:color="auto" w:fill="auto"/>
            <w:vAlign w:val="center"/>
          </w:tcPr>
          <w:p w14:paraId="6C79303C" w14:textId="65DDD4A5" w:rsidR="00255B51" w:rsidRPr="00255B51" w:rsidRDefault="00255B51" w:rsidP="00255B51">
            <w:pPr>
              <w:jc w:val="right"/>
              <w:rPr>
                <w:rFonts w:cs="Arial"/>
                <w:sz w:val="20"/>
                <w:lang w:val="en-US"/>
              </w:rPr>
            </w:pPr>
            <w:r w:rsidRPr="00255B51">
              <w:rPr>
                <w:rFonts w:cs="Arial"/>
                <w:sz w:val="20"/>
              </w:rPr>
              <w:t> </w:t>
            </w:r>
          </w:p>
        </w:tc>
        <w:tc>
          <w:tcPr>
            <w:tcW w:w="1269" w:type="dxa"/>
            <w:shd w:val="clear" w:color="auto" w:fill="auto"/>
            <w:vAlign w:val="center"/>
          </w:tcPr>
          <w:p w14:paraId="003C5A4C" w14:textId="0A33B528" w:rsidR="00255B51" w:rsidRPr="00255B51" w:rsidRDefault="00255B51" w:rsidP="00255B51">
            <w:pPr>
              <w:jc w:val="right"/>
              <w:rPr>
                <w:rFonts w:cs="Arial"/>
                <w:sz w:val="20"/>
                <w:lang w:val="en-US"/>
              </w:rPr>
            </w:pPr>
            <w:r w:rsidRPr="00255B51">
              <w:rPr>
                <w:rFonts w:cs="Arial"/>
                <w:sz w:val="20"/>
              </w:rPr>
              <w:t> </w:t>
            </w:r>
          </w:p>
        </w:tc>
        <w:tc>
          <w:tcPr>
            <w:tcW w:w="1393" w:type="dxa"/>
            <w:shd w:val="clear" w:color="auto" w:fill="auto"/>
            <w:vAlign w:val="center"/>
          </w:tcPr>
          <w:p w14:paraId="2660C9B0" w14:textId="7CB972A1" w:rsidR="00255B51" w:rsidRPr="00255B51" w:rsidRDefault="00255B51" w:rsidP="00255B51">
            <w:pPr>
              <w:jc w:val="right"/>
              <w:rPr>
                <w:rFonts w:cs="Arial"/>
                <w:sz w:val="20"/>
                <w:lang w:val="en-US"/>
              </w:rPr>
            </w:pPr>
            <w:r w:rsidRPr="00255B51">
              <w:rPr>
                <w:rFonts w:cs="Arial"/>
                <w:sz w:val="20"/>
              </w:rPr>
              <w:t> </w:t>
            </w:r>
          </w:p>
        </w:tc>
      </w:tr>
      <w:tr w:rsidR="00255B51" w:rsidRPr="00255B51" w14:paraId="5FB3F72B" w14:textId="77777777" w:rsidTr="00255B51">
        <w:tc>
          <w:tcPr>
            <w:tcW w:w="3539" w:type="dxa"/>
            <w:shd w:val="clear" w:color="auto" w:fill="auto"/>
            <w:vAlign w:val="center"/>
          </w:tcPr>
          <w:p w14:paraId="53E50AA8" w14:textId="25E592F3" w:rsidR="00255B51" w:rsidRPr="00255B51" w:rsidRDefault="00255B51" w:rsidP="00255B51">
            <w:pPr>
              <w:rPr>
                <w:rFonts w:cs="Arial"/>
                <w:sz w:val="20"/>
                <w:lang w:val="en-US"/>
              </w:rPr>
            </w:pPr>
            <w:r w:rsidRPr="00255B51">
              <w:rPr>
                <w:rFonts w:cs="Arial"/>
                <w:b/>
                <w:bCs/>
                <w:sz w:val="20"/>
              </w:rPr>
              <w:t>General Fund Reserves</w:t>
            </w:r>
          </w:p>
        </w:tc>
        <w:tc>
          <w:tcPr>
            <w:tcW w:w="1364" w:type="dxa"/>
            <w:shd w:val="clear" w:color="auto" w:fill="auto"/>
            <w:vAlign w:val="center"/>
          </w:tcPr>
          <w:p w14:paraId="14D6C1D3" w14:textId="21101E0C" w:rsidR="00255B51" w:rsidRPr="00255B51" w:rsidRDefault="00255B51" w:rsidP="00255B51">
            <w:pPr>
              <w:jc w:val="right"/>
              <w:rPr>
                <w:rFonts w:cs="Arial"/>
                <w:sz w:val="20"/>
                <w:lang w:val="en-US"/>
              </w:rPr>
            </w:pPr>
            <w:r w:rsidRPr="00255B51">
              <w:rPr>
                <w:rFonts w:cs="Arial"/>
                <w:b/>
                <w:bCs/>
                <w:sz w:val="20"/>
              </w:rPr>
              <w:t>-10,000,000</w:t>
            </w:r>
          </w:p>
        </w:tc>
        <w:tc>
          <w:tcPr>
            <w:tcW w:w="1319" w:type="dxa"/>
            <w:shd w:val="clear" w:color="auto" w:fill="auto"/>
            <w:vAlign w:val="center"/>
          </w:tcPr>
          <w:p w14:paraId="0DD6799F" w14:textId="716F860B" w:rsidR="00255B51" w:rsidRPr="00255B51" w:rsidRDefault="00255B51" w:rsidP="00255B51">
            <w:pPr>
              <w:jc w:val="right"/>
              <w:rPr>
                <w:rFonts w:cs="Arial"/>
                <w:sz w:val="20"/>
                <w:lang w:val="en-US"/>
              </w:rPr>
            </w:pPr>
            <w:r w:rsidRPr="00255B51">
              <w:rPr>
                <w:rFonts w:cs="Arial"/>
                <w:b/>
                <w:bCs/>
                <w:sz w:val="20"/>
              </w:rPr>
              <w:t> </w:t>
            </w:r>
          </w:p>
        </w:tc>
        <w:tc>
          <w:tcPr>
            <w:tcW w:w="1317" w:type="dxa"/>
            <w:shd w:val="clear" w:color="auto" w:fill="auto"/>
            <w:vAlign w:val="center"/>
          </w:tcPr>
          <w:p w14:paraId="7804848D" w14:textId="5E764210" w:rsidR="00255B51" w:rsidRPr="00255B51" w:rsidRDefault="00255B51" w:rsidP="00255B51">
            <w:pPr>
              <w:jc w:val="right"/>
              <w:rPr>
                <w:rFonts w:cs="Arial"/>
                <w:sz w:val="20"/>
                <w:lang w:val="en-US"/>
              </w:rPr>
            </w:pPr>
            <w:r w:rsidRPr="00255B51">
              <w:rPr>
                <w:rFonts w:cs="Arial"/>
                <w:b/>
                <w:bCs/>
                <w:sz w:val="20"/>
              </w:rPr>
              <w:t> </w:t>
            </w:r>
          </w:p>
        </w:tc>
        <w:tc>
          <w:tcPr>
            <w:tcW w:w="1269" w:type="dxa"/>
            <w:shd w:val="clear" w:color="auto" w:fill="auto"/>
            <w:vAlign w:val="center"/>
          </w:tcPr>
          <w:p w14:paraId="605E137A" w14:textId="79D15991" w:rsidR="00255B51" w:rsidRPr="00255B51" w:rsidRDefault="00255B51" w:rsidP="00255B51">
            <w:pPr>
              <w:jc w:val="right"/>
              <w:rPr>
                <w:rFonts w:cs="Arial"/>
                <w:sz w:val="20"/>
                <w:lang w:val="en-US"/>
              </w:rPr>
            </w:pPr>
            <w:r w:rsidRPr="00255B51">
              <w:rPr>
                <w:rFonts w:cs="Arial"/>
                <w:b/>
                <w:bCs/>
                <w:sz w:val="20"/>
              </w:rPr>
              <w:t> </w:t>
            </w:r>
          </w:p>
        </w:tc>
        <w:tc>
          <w:tcPr>
            <w:tcW w:w="1393" w:type="dxa"/>
            <w:shd w:val="clear" w:color="auto" w:fill="auto"/>
            <w:vAlign w:val="center"/>
          </w:tcPr>
          <w:p w14:paraId="141E0BB6" w14:textId="6F66163F" w:rsidR="00255B51" w:rsidRPr="00255B51" w:rsidRDefault="00255B51" w:rsidP="00255B51">
            <w:pPr>
              <w:jc w:val="right"/>
              <w:rPr>
                <w:rFonts w:cs="Arial"/>
                <w:sz w:val="20"/>
                <w:lang w:val="en-US"/>
              </w:rPr>
            </w:pPr>
            <w:r w:rsidRPr="00255B51">
              <w:rPr>
                <w:rFonts w:cs="Arial"/>
                <w:b/>
                <w:bCs/>
                <w:sz w:val="20"/>
              </w:rPr>
              <w:t>-10,000,000</w:t>
            </w:r>
          </w:p>
        </w:tc>
      </w:tr>
    </w:tbl>
    <w:p w14:paraId="206B8AB3" w14:textId="3850E24C" w:rsidR="00C742E3" w:rsidRPr="003E498C" w:rsidRDefault="00C742E3" w:rsidP="00193CDA">
      <w:pPr>
        <w:jc w:val="both"/>
        <w:rPr>
          <w:rFonts w:cs="Arial"/>
          <w:lang w:val="en-US"/>
        </w:rPr>
      </w:pPr>
    </w:p>
    <w:p w14:paraId="097247DD" w14:textId="68C37C76" w:rsidR="009E52CC" w:rsidRPr="00CB25C5" w:rsidRDefault="005B3414" w:rsidP="007A4D31">
      <w:pPr>
        <w:pStyle w:val="ListParagraph"/>
        <w:numPr>
          <w:ilvl w:val="0"/>
          <w:numId w:val="5"/>
        </w:numPr>
        <w:ind w:left="460" w:hanging="567"/>
        <w:jc w:val="both"/>
        <w:rPr>
          <w:rFonts w:cs="Arial"/>
          <w:b/>
          <w:bCs/>
        </w:rPr>
      </w:pPr>
      <w:r w:rsidRPr="00CB25C5">
        <w:rPr>
          <w:rFonts w:cs="Arial"/>
          <w:b/>
          <w:bCs/>
          <w:lang w:val="en-US"/>
        </w:rPr>
        <w:t>Earmarked</w:t>
      </w:r>
      <w:r w:rsidR="009E52CC" w:rsidRPr="00CB25C5">
        <w:rPr>
          <w:rFonts w:cs="Arial"/>
          <w:b/>
          <w:bCs/>
          <w:lang w:val="en-US"/>
        </w:rPr>
        <w:t xml:space="preserve"> Reserves</w:t>
      </w:r>
    </w:p>
    <w:p w14:paraId="64C07B3E" w14:textId="4744F66E" w:rsidR="00193CDA" w:rsidRPr="00CB25C5" w:rsidRDefault="00193CDA" w:rsidP="00193CDA">
      <w:pPr>
        <w:jc w:val="both"/>
        <w:rPr>
          <w:rFonts w:cs="Arial"/>
          <w:lang w:val="en-US"/>
        </w:rPr>
      </w:pPr>
    </w:p>
    <w:p w14:paraId="314F12E3" w14:textId="77777777" w:rsidR="00245400" w:rsidRDefault="00245400" w:rsidP="00245400">
      <w:pPr>
        <w:pStyle w:val="ListParagraph"/>
        <w:numPr>
          <w:ilvl w:val="0"/>
          <w:numId w:val="26"/>
        </w:numPr>
        <w:jc w:val="both"/>
        <w:rPr>
          <w:rFonts w:cs="Arial"/>
          <w:lang w:val="en-US"/>
        </w:rPr>
      </w:pPr>
      <w:r w:rsidRPr="00CB25C5">
        <w:rPr>
          <w:rFonts w:cs="Arial"/>
          <w:b/>
          <w:bCs/>
          <w:lang w:val="en-US"/>
        </w:rPr>
        <w:t>CIL Harrow</w:t>
      </w:r>
      <w:r w:rsidRPr="00CB25C5">
        <w:rPr>
          <w:rFonts w:cs="Arial"/>
          <w:lang w:val="en-US"/>
        </w:rPr>
        <w:t xml:space="preserve"> – the Community Infrastructure Levy is a planning charge introduced by the Planning Act 2008 as a tool for LAs in England and Wales </w:t>
      </w:r>
      <w:r w:rsidRPr="00CB25C5">
        <w:rPr>
          <w:rFonts w:cs="Arial"/>
          <w:lang w:val="en-US"/>
        </w:rPr>
        <w:lastRenderedPageBreak/>
        <w:t>to help deliver infrastructure to support the development of their area. An addition to the reserve has been made in 2021-22 totaling £2.295m. There are also drawdowns totaling £1.917m which have been used to support the capital programme.</w:t>
      </w:r>
    </w:p>
    <w:p w14:paraId="3D2B0432" w14:textId="77777777" w:rsidR="00245400" w:rsidRPr="00245400" w:rsidRDefault="00245400" w:rsidP="00245400">
      <w:pPr>
        <w:pStyle w:val="ListParagraph"/>
        <w:ind w:left="1287"/>
        <w:jc w:val="both"/>
        <w:rPr>
          <w:rFonts w:cs="Arial"/>
          <w:lang w:val="en-US"/>
        </w:rPr>
      </w:pPr>
    </w:p>
    <w:p w14:paraId="716D384E" w14:textId="435F6178" w:rsidR="00245400" w:rsidRPr="00FE63BA" w:rsidRDefault="00245400" w:rsidP="00245400">
      <w:pPr>
        <w:pStyle w:val="ListParagraph"/>
        <w:numPr>
          <w:ilvl w:val="0"/>
          <w:numId w:val="26"/>
        </w:numPr>
        <w:jc w:val="both"/>
        <w:rPr>
          <w:rFonts w:cs="Arial"/>
          <w:lang w:val="en-US"/>
        </w:rPr>
      </w:pPr>
      <w:r w:rsidRPr="00CB25C5">
        <w:rPr>
          <w:rFonts w:cs="Arial"/>
          <w:b/>
          <w:bCs/>
          <w:lang w:val="en-US"/>
        </w:rPr>
        <w:t>Revenue Grant Reserve</w:t>
      </w:r>
      <w:r w:rsidRPr="00CB25C5">
        <w:rPr>
          <w:rFonts w:cs="Arial"/>
          <w:lang w:val="en-US"/>
        </w:rPr>
        <w:t xml:space="preserve"> – this reserve holds revenue grants to be used </w:t>
      </w:r>
      <w:r w:rsidRPr="00FE63BA">
        <w:rPr>
          <w:rFonts w:cs="Arial"/>
          <w:lang w:val="en-US"/>
        </w:rPr>
        <w:t>for specific purposes or which may be subject to claw back if conditions of the grant are not met.</w:t>
      </w:r>
      <w:r>
        <w:rPr>
          <w:rFonts w:cs="Arial"/>
          <w:lang w:val="en-US"/>
        </w:rPr>
        <w:t xml:space="preserve"> The movements in 2021-22 represent </w:t>
      </w:r>
      <w:proofErr w:type="spellStart"/>
      <w:r>
        <w:rPr>
          <w:rFonts w:cs="Arial"/>
          <w:lang w:val="en-US"/>
        </w:rPr>
        <w:t>draw downs</w:t>
      </w:r>
      <w:proofErr w:type="spellEnd"/>
      <w:r>
        <w:rPr>
          <w:rFonts w:cs="Arial"/>
          <w:lang w:val="en-US"/>
        </w:rPr>
        <w:t xml:space="preserve"> to revenue and contribution of new grants to carry forward to future years.</w:t>
      </w:r>
    </w:p>
    <w:p w14:paraId="29376B9F" w14:textId="77777777" w:rsidR="00245400" w:rsidRDefault="00245400" w:rsidP="00245400">
      <w:pPr>
        <w:pStyle w:val="ListParagraph"/>
        <w:ind w:left="1287"/>
        <w:jc w:val="both"/>
        <w:rPr>
          <w:rFonts w:cs="Arial"/>
          <w:lang w:val="en-US"/>
        </w:rPr>
      </w:pPr>
    </w:p>
    <w:p w14:paraId="4C609C0A" w14:textId="2CBD4AE6" w:rsidR="00245400" w:rsidRDefault="00245400" w:rsidP="00894828">
      <w:pPr>
        <w:pStyle w:val="ListParagraph"/>
        <w:numPr>
          <w:ilvl w:val="0"/>
          <w:numId w:val="26"/>
        </w:numPr>
        <w:jc w:val="both"/>
        <w:rPr>
          <w:rFonts w:cs="Arial"/>
          <w:lang w:val="en-US"/>
        </w:rPr>
      </w:pPr>
      <w:r w:rsidRPr="00245400">
        <w:rPr>
          <w:rFonts w:cs="Arial"/>
          <w:b/>
          <w:bCs/>
          <w:lang w:val="en-US"/>
        </w:rPr>
        <w:t>Business Pool Reserve</w:t>
      </w:r>
      <w:r>
        <w:rPr>
          <w:rFonts w:cs="Arial"/>
          <w:lang w:val="en-US"/>
        </w:rPr>
        <w:t xml:space="preserve"> – the balance brought forward relates to 2020-21 and was subject to </w:t>
      </w:r>
      <w:proofErr w:type="spellStart"/>
      <w:r>
        <w:rPr>
          <w:rFonts w:cs="Arial"/>
          <w:lang w:val="en-US"/>
        </w:rPr>
        <w:t>clawback</w:t>
      </w:r>
      <w:proofErr w:type="spellEnd"/>
      <w:r>
        <w:rPr>
          <w:rFonts w:cs="Arial"/>
          <w:lang w:val="en-US"/>
        </w:rPr>
        <w:t xml:space="preserve"> by the City of London once the pool accounts were determined.</w:t>
      </w:r>
    </w:p>
    <w:p w14:paraId="16DB83A5" w14:textId="77777777" w:rsidR="00B5452E" w:rsidRPr="00B5452E" w:rsidRDefault="00B5452E" w:rsidP="00B5452E">
      <w:pPr>
        <w:pStyle w:val="ListParagraph"/>
        <w:rPr>
          <w:rFonts w:cs="Arial"/>
          <w:lang w:val="en-US"/>
        </w:rPr>
      </w:pPr>
    </w:p>
    <w:p w14:paraId="75657AD4" w14:textId="54114768" w:rsidR="00B5452E" w:rsidRDefault="00B5452E" w:rsidP="00B5452E">
      <w:pPr>
        <w:pStyle w:val="ListParagraph"/>
        <w:numPr>
          <w:ilvl w:val="0"/>
          <w:numId w:val="26"/>
        </w:numPr>
        <w:jc w:val="both"/>
        <w:rPr>
          <w:rFonts w:cs="Arial"/>
          <w:lang w:val="en-US"/>
        </w:rPr>
      </w:pPr>
      <w:r w:rsidRPr="00FE63BA">
        <w:rPr>
          <w:rFonts w:cs="Arial"/>
          <w:b/>
          <w:bCs/>
          <w:lang w:val="en-US"/>
        </w:rPr>
        <w:t>PFI Reserves –</w:t>
      </w:r>
      <w:r>
        <w:rPr>
          <w:rFonts w:cs="Arial"/>
          <w:lang w:val="en-US"/>
        </w:rPr>
        <w:t xml:space="preserve"> these reserves are to support current and future funding gaps in relation to PFI contracts in Schools and Adult Services.</w:t>
      </w:r>
    </w:p>
    <w:p w14:paraId="429A7855" w14:textId="77777777" w:rsidR="00B5452E" w:rsidRPr="00B5452E" w:rsidRDefault="00B5452E" w:rsidP="00B5452E">
      <w:pPr>
        <w:pStyle w:val="ListParagraph"/>
        <w:rPr>
          <w:rFonts w:cs="Arial"/>
          <w:lang w:val="en-US"/>
        </w:rPr>
      </w:pPr>
    </w:p>
    <w:p w14:paraId="34DD15C2" w14:textId="68FD16C9" w:rsidR="00B5452E" w:rsidRDefault="00B5452E" w:rsidP="00B5452E">
      <w:pPr>
        <w:pStyle w:val="ListParagraph"/>
        <w:numPr>
          <w:ilvl w:val="0"/>
          <w:numId w:val="26"/>
        </w:numPr>
        <w:jc w:val="both"/>
        <w:rPr>
          <w:rFonts w:cs="Arial"/>
          <w:lang w:val="en-US"/>
        </w:rPr>
      </w:pPr>
      <w:r w:rsidRPr="00CB25C5">
        <w:rPr>
          <w:rFonts w:cs="Arial"/>
          <w:b/>
          <w:bCs/>
          <w:lang w:val="en-US"/>
        </w:rPr>
        <w:t>Public Health Reserve</w:t>
      </w:r>
      <w:r w:rsidRPr="00CB25C5">
        <w:rPr>
          <w:rFonts w:cs="Arial"/>
          <w:lang w:val="en-US"/>
        </w:rPr>
        <w:t xml:space="preserve"> – this reserve relates to unspent government grant paid in relation to the delivery of public health responsibilities. </w:t>
      </w:r>
      <w:r>
        <w:rPr>
          <w:rFonts w:cs="Arial"/>
          <w:lang w:val="en-US"/>
        </w:rPr>
        <w:t>There has been an additional contribution of £302k in 2021-22.</w:t>
      </w:r>
    </w:p>
    <w:p w14:paraId="0F2629B9" w14:textId="77777777" w:rsidR="00B5452E" w:rsidRPr="00B5452E" w:rsidRDefault="00B5452E" w:rsidP="00B5452E">
      <w:pPr>
        <w:pStyle w:val="ListParagraph"/>
        <w:rPr>
          <w:rFonts w:cs="Arial"/>
          <w:lang w:val="en-US"/>
        </w:rPr>
      </w:pPr>
    </w:p>
    <w:p w14:paraId="74225AB0" w14:textId="77777777" w:rsidR="00B5452E" w:rsidRPr="001859C2" w:rsidRDefault="00B5452E" w:rsidP="00B5452E">
      <w:pPr>
        <w:pStyle w:val="ListParagraph"/>
        <w:numPr>
          <w:ilvl w:val="0"/>
          <w:numId w:val="26"/>
        </w:numPr>
        <w:jc w:val="both"/>
        <w:rPr>
          <w:rFonts w:cs="Arial"/>
          <w:lang w:val="en-US"/>
        </w:rPr>
      </w:pPr>
      <w:r w:rsidRPr="001859C2">
        <w:rPr>
          <w:rFonts w:cs="Arial"/>
          <w:b/>
          <w:bCs/>
          <w:lang w:val="en-US"/>
        </w:rPr>
        <w:t>Legal Reserve</w:t>
      </w:r>
      <w:r w:rsidRPr="001859C2">
        <w:rPr>
          <w:rFonts w:cs="Arial"/>
          <w:lang w:val="en-US"/>
        </w:rPr>
        <w:t xml:space="preserve"> – this reserve is earmarked to Legal services projects and contingency as set out in the IAA</w:t>
      </w:r>
    </w:p>
    <w:p w14:paraId="32B1095E" w14:textId="77777777" w:rsidR="00B5452E" w:rsidRPr="00B5452E" w:rsidRDefault="00B5452E" w:rsidP="00B5452E">
      <w:pPr>
        <w:pStyle w:val="ListParagraph"/>
        <w:ind w:left="1287"/>
        <w:jc w:val="both"/>
        <w:rPr>
          <w:rFonts w:cs="Arial"/>
          <w:lang w:val="en-US"/>
        </w:rPr>
      </w:pPr>
    </w:p>
    <w:p w14:paraId="7F560010" w14:textId="214D6F3C" w:rsidR="00B5452E" w:rsidRDefault="00B5452E" w:rsidP="00B5452E">
      <w:pPr>
        <w:pStyle w:val="ListParagraph"/>
        <w:numPr>
          <w:ilvl w:val="0"/>
          <w:numId w:val="26"/>
        </w:numPr>
        <w:jc w:val="both"/>
        <w:rPr>
          <w:rFonts w:cs="Arial"/>
          <w:lang w:val="en-US"/>
        </w:rPr>
      </w:pPr>
      <w:r w:rsidRPr="00CB25C5">
        <w:rPr>
          <w:rFonts w:cs="Arial"/>
          <w:b/>
          <w:bCs/>
          <w:lang w:val="en-US"/>
        </w:rPr>
        <w:t>Carry Forward Reserve</w:t>
      </w:r>
      <w:r w:rsidRPr="00CB25C5">
        <w:rPr>
          <w:rFonts w:cs="Arial"/>
          <w:lang w:val="en-US"/>
        </w:rPr>
        <w:t xml:space="preserve"> – the balance brought forward relates to revenue budgets carried forward from 2020-21 for use in 2021-22. The balance carried forward relates to revenue budgets carried forward from 2021-22 for use in 2022-23.</w:t>
      </w:r>
    </w:p>
    <w:p w14:paraId="08FB4B43" w14:textId="77777777" w:rsidR="00B5452E" w:rsidRPr="00EB1A01" w:rsidRDefault="00B5452E" w:rsidP="00B5452E">
      <w:pPr>
        <w:pStyle w:val="ListParagraph"/>
        <w:ind w:left="1287"/>
        <w:jc w:val="both"/>
        <w:rPr>
          <w:rFonts w:cs="Arial"/>
          <w:lang w:val="en-US"/>
        </w:rPr>
      </w:pPr>
    </w:p>
    <w:p w14:paraId="2B8301D6" w14:textId="77777777" w:rsidR="00B5452E" w:rsidRPr="00EB1A01" w:rsidRDefault="00B5452E" w:rsidP="00B5452E">
      <w:pPr>
        <w:pStyle w:val="ListParagraph"/>
        <w:numPr>
          <w:ilvl w:val="0"/>
          <w:numId w:val="26"/>
        </w:numPr>
        <w:jc w:val="both"/>
        <w:rPr>
          <w:rFonts w:cs="Arial"/>
          <w:lang w:val="en-US"/>
        </w:rPr>
      </w:pPr>
      <w:bookmarkStart w:id="7" w:name="_Hlk106974052"/>
      <w:r w:rsidRPr="00EB1A01">
        <w:rPr>
          <w:rFonts w:cs="Arial"/>
          <w:b/>
          <w:bCs/>
          <w:lang w:val="en-US"/>
        </w:rPr>
        <w:t>Collection Fund Reserve</w:t>
      </w:r>
      <w:r w:rsidRPr="00EB1A01">
        <w:rPr>
          <w:rFonts w:cs="Arial"/>
          <w:lang w:val="en-US"/>
        </w:rPr>
        <w:t xml:space="preserve"> – This reserve will be used to support the estimated Collection Fund deficit </w:t>
      </w:r>
      <w:r w:rsidR="002D48BB">
        <w:rPr>
          <w:rFonts w:cs="Arial"/>
          <w:lang w:val="en-US"/>
        </w:rPr>
        <w:t>and will be drawn down in 2022-23</w:t>
      </w:r>
    </w:p>
    <w:bookmarkEnd w:id="7"/>
    <w:p w14:paraId="5060082B" w14:textId="77777777" w:rsidR="00B5452E" w:rsidRPr="00B5452E" w:rsidRDefault="00B5452E" w:rsidP="00B5452E">
      <w:pPr>
        <w:ind w:left="927"/>
        <w:jc w:val="both"/>
        <w:rPr>
          <w:rFonts w:cs="Arial"/>
          <w:lang w:val="en-US"/>
        </w:rPr>
      </w:pPr>
    </w:p>
    <w:p w14:paraId="5E4DAB66" w14:textId="77777777" w:rsidR="00B5452E" w:rsidRPr="00FE63BA" w:rsidRDefault="00B5452E" w:rsidP="00B5452E">
      <w:pPr>
        <w:pStyle w:val="ListParagraph"/>
        <w:numPr>
          <w:ilvl w:val="0"/>
          <w:numId w:val="26"/>
        </w:numPr>
        <w:jc w:val="both"/>
        <w:rPr>
          <w:rFonts w:cs="Arial"/>
          <w:lang w:val="en-US"/>
        </w:rPr>
      </w:pPr>
      <w:r w:rsidRPr="00FE63BA">
        <w:rPr>
          <w:rFonts w:cs="Arial"/>
          <w:b/>
          <w:bCs/>
          <w:lang w:val="en-US"/>
        </w:rPr>
        <w:t>EDI Reserve</w:t>
      </w:r>
      <w:r w:rsidRPr="00FE63BA">
        <w:rPr>
          <w:rFonts w:cs="Arial"/>
          <w:lang w:val="en-US"/>
        </w:rPr>
        <w:t xml:space="preserve"> – this reserve has been established to support the council’s commitment to Equalities, </w:t>
      </w:r>
      <w:proofErr w:type="gramStart"/>
      <w:r w:rsidRPr="00FE63BA">
        <w:rPr>
          <w:rFonts w:cs="Arial"/>
          <w:lang w:val="en-US"/>
        </w:rPr>
        <w:t>Diversity</w:t>
      </w:r>
      <w:proofErr w:type="gramEnd"/>
      <w:r w:rsidRPr="00FE63BA">
        <w:rPr>
          <w:rFonts w:cs="Arial"/>
          <w:lang w:val="en-US"/>
        </w:rPr>
        <w:t xml:space="preserve"> and Inclusion agenda.</w:t>
      </w:r>
    </w:p>
    <w:p w14:paraId="025F3BE0" w14:textId="77777777" w:rsidR="00245400" w:rsidRPr="00B5452E" w:rsidRDefault="00245400" w:rsidP="00B5452E">
      <w:pPr>
        <w:pStyle w:val="ListParagraph"/>
        <w:ind w:left="1287"/>
        <w:jc w:val="both"/>
        <w:rPr>
          <w:rFonts w:cs="Arial"/>
          <w:lang w:val="en-US"/>
        </w:rPr>
      </w:pPr>
    </w:p>
    <w:p w14:paraId="24EA338B" w14:textId="4E287D64" w:rsidR="00894828" w:rsidRPr="00894828" w:rsidRDefault="00894828" w:rsidP="00894828">
      <w:pPr>
        <w:pStyle w:val="ListParagraph"/>
        <w:numPr>
          <w:ilvl w:val="0"/>
          <w:numId w:val="26"/>
        </w:numPr>
        <w:jc w:val="both"/>
        <w:rPr>
          <w:rFonts w:cs="Arial"/>
          <w:lang w:val="en-US"/>
        </w:rPr>
      </w:pPr>
      <w:r w:rsidRPr="00894828">
        <w:rPr>
          <w:rFonts w:cs="Arial"/>
          <w:b/>
          <w:bCs/>
          <w:lang w:val="en-US"/>
        </w:rPr>
        <w:t>Accommodation Strategy</w:t>
      </w:r>
      <w:r w:rsidRPr="00894828">
        <w:rPr>
          <w:rFonts w:cs="Arial"/>
          <w:lang w:val="en-US"/>
        </w:rPr>
        <w:t xml:space="preserve"> – this reserve has been established to support the council’s accommodation strategy </w:t>
      </w:r>
    </w:p>
    <w:p w14:paraId="47C80EF9" w14:textId="77777777" w:rsidR="00894828" w:rsidRPr="00894828" w:rsidRDefault="00894828" w:rsidP="00894828">
      <w:pPr>
        <w:pStyle w:val="ListParagraph"/>
        <w:ind w:left="1440"/>
        <w:jc w:val="both"/>
        <w:rPr>
          <w:rFonts w:cs="Arial"/>
          <w:lang w:val="en-US"/>
        </w:rPr>
      </w:pPr>
    </w:p>
    <w:p w14:paraId="0163B9AB" w14:textId="3F2614DD" w:rsidR="00894828" w:rsidRDefault="00894828" w:rsidP="00894828">
      <w:pPr>
        <w:pStyle w:val="ListParagraph"/>
        <w:numPr>
          <w:ilvl w:val="0"/>
          <w:numId w:val="26"/>
        </w:numPr>
        <w:jc w:val="both"/>
        <w:rPr>
          <w:rFonts w:cs="Arial"/>
          <w:lang w:val="en-US"/>
        </w:rPr>
      </w:pPr>
      <w:r w:rsidRPr="00894828">
        <w:rPr>
          <w:rFonts w:cs="Arial"/>
          <w:b/>
          <w:bCs/>
          <w:lang w:val="en-US"/>
        </w:rPr>
        <w:t>Adults Social Care</w:t>
      </w:r>
      <w:r w:rsidRPr="00894828">
        <w:rPr>
          <w:rFonts w:cs="Arial"/>
          <w:lang w:val="en-US"/>
        </w:rPr>
        <w:t xml:space="preserve"> – this funding is earmarked to future social care pressures in Adults Services</w:t>
      </w:r>
    </w:p>
    <w:p w14:paraId="68616A46" w14:textId="77777777" w:rsidR="00B5452E" w:rsidRPr="00B5452E" w:rsidRDefault="00B5452E" w:rsidP="00B5452E">
      <w:pPr>
        <w:pStyle w:val="ListParagraph"/>
        <w:rPr>
          <w:rFonts w:cs="Arial"/>
          <w:lang w:val="en-US"/>
        </w:rPr>
      </w:pPr>
    </w:p>
    <w:p w14:paraId="02016559" w14:textId="77777777" w:rsidR="00B5452E" w:rsidRDefault="00B5452E" w:rsidP="00B5452E">
      <w:pPr>
        <w:pStyle w:val="ListParagraph"/>
        <w:numPr>
          <w:ilvl w:val="0"/>
          <w:numId w:val="26"/>
        </w:numPr>
        <w:jc w:val="both"/>
        <w:rPr>
          <w:rFonts w:cs="Arial"/>
          <w:lang w:val="en-US"/>
        </w:rPr>
      </w:pPr>
      <w:r>
        <w:rPr>
          <w:rFonts w:cs="Arial"/>
          <w:b/>
          <w:bCs/>
          <w:lang w:val="en-US"/>
        </w:rPr>
        <w:t>Children’s</w:t>
      </w:r>
      <w:r w:rsidRPr="00894828">
        <w:rPr>
          <w:rFonts w:cs="Arial"/>
          <w:b/>
          <w:bCs/>
          <w:lang w:val="en-US"/>
        </w:rPr>
        <w:t xml:space="preserve"> Social Care</w:t>
      </w:r>
      <w:r w:rsidRPr="00894828">
        <w:rPr>
          <w:rFonts w:cs="Arial"/>
          <w:lang w:val="en-US"/>
        </w:rPr>
        <w:t xml:space="preserve"> – this funding is earmarked to future social care pressures in </w:t>
      </w:r>
      <w:r>
        <w:rPr>
          <w:rFonts w:cs="Arial"/>
          <w:lang w:val="en-US"/>
        </w:rPr>
        <w:t xml:space="preserve">Children’s </w:t>
      </w:r>
      <w:r w:rsidRPr="00894828">
        <w:rPr>
          <w:rFonts w:cs="Arial"/>
          <w:lang w:val="en-US"/>
        </w:rPr>
        <w:t>Services</w:t>
      </w:r>
    </w:p>
    <w:p w14:paraId="32FB2905" w14:textId="77777777" w:rsidR="00B5452E" w:rsidRDefault="00B5452E" w:rsidP="00B5452E">
      <w:pPr>
        <w:pStyle w:val="ListParagraph"/>
        <w:ind w:left="1287"/>
        <w:jc w:val="both"/>
        <w:rPr>
          <w:rFonts w:cs="Arial"/>
          <w:lang w:val="en-US"/>
        </w:rPr>
      </w:pPr>
    </w:p>
    <w:p w14:paraId="6C8CE3DC" w14:textId="230E2304" w:rsidR="00894828" w:rsidRPr="00B5452E" w:rsidRDefault="00B5452E" w:rsidP="00B5452E">
      <w:pPr>
        <w:pStyle w:val="ListParagraph"/>
        <w:numPr>
          <w:ilvl w:val="0"/>
          <w:numId w:val="26"/>
        </w:numPr>
        <w:jc w:val="both"/>
        <w:rPr>
          <w:rFonts w:cs="Arial"/>
          <w:lang w:val="en-US"/>
        </w:rPr>
      </w:pPr>
      <w:r w:rsidRPr="001859C2">
        <w:rPr>
          <w:rFonts w:cs="Arial"/>
          <w:b/>
          <w:bCs/>
          <w:lang w:val="en-US"/>
        </w:rPr>
        <w:t>DSG Overspend</w:t>
      </w:r>
      <w:r w:rsidRPr="001859C2">
        <w:rPr>
          <w:rFonts w:cs="Arial"/>
          <w:lang w:val="en-US"/>
        </w:rPr>
        <w:t xml:space="preserve"> – this negative reserve holds the cumulative balance of the overspend on the High Needs Block of the Dedicated Schools Grant.</w:t>
      </w:r>
    </w:p>
    <w:p w14:paraId="143BE215" w14:textId="77777777" w:rsidR="00894828" w:rsidRPr="001859C2" w:rsidRDefault="00894828" w:rsidP="00894828">
      <w:pPr>
        <w:pStyle w:val="ListParagraph"/>
        <w:ind w:left="1287"/>
        <w:jc w:val="both"/>
        <w:rPr>
          <w:rFonts w:cs="Arial"/>
          <w:lang w:val="en-US"/>
        </w:rPr>
      </w:pPr>
    </w:p>
    <w:p w14:paraId="22247AEF" w14:textId="7A4198BA" w:rsidR="00894828" w:rsidRDefault="00894828" w:rsidP="00066267">
      <w:pPr>
        <w:pStyle w:val="ListParagraph"/>
        <w:numPr>
          <w:ilvl w:val="0"/>
          <w:numId w:val="26"/>
        </w:numPr>
        <w:jc w:val="both"/>
        <w:rPr>
          <w:rFonts w:cs="Arial"/>
          <w:lang w:val="en-US"/>
        </w:rPr>
      </w:pPr>
      <w:r w:rsidRPr="001859C2">
        <w:rPr>
          <w:rFonts w:cs="Arial"/>
          <w:b/>
          <w:bCs/>
          <w:lang w:val="en-US"/>
        </w:rPr>
        <w:lastRenderedPageBreak/>
        <w:t>Business Risk Reserve</w:t>
      </w:r>
      <w:r w:rsidRPr="001859C2">
        <w:rPr>
          <w:rFonts w:cs="Arial"/>
          <w:lang w:val="en-US"/>
        </w:rPr>
        <w:t xml:space="preserve"> – </w:t>
      </w:r>
      <w:r w:rsidR="00FE63BA" w:rsidRPr="001859C2">
        <w:rPr>
          <w:rFonts w:cs="Arial"/>
          <w:lang w:val="en-US"/>
        </w:rPr>
        <w:t>t</w:t>
      </w:r>
      <w:r w:rsidRPr="001859C2">
        <w:rPr>
          <w:rFonts w:cs="Arial"/>
          <w:lang w:val="en-US"/>
        </w:rPr>
        <w:t xml:space="preserve">he balance carried forward to </w:t>
      </w:r>
      <w:r w:rsidR="00FE63BA" w:rsidRPr="001859C2">
        <w:rPr>
          <w:rFonts w:cs="Arial"/>
          <w:lang w:val="en-US"/>
        </w:rPr>
        <w:t>2022-23</w:t>
      </w:r>
      <w:r w:rsidRPr="001859C2">
        <w:rPr>
          <w:rFonts w:cs="Arial"/>
          <w:lang w:val="en-US"/>
        </w:rPr>
        <w:t xml:space="preserve"> </w:t>
      </w:r>
      <w:r w:rsidR="00FE63BA" w:rsidRPr="001859C2">
        <w:rPr>
          <w:rFonts w:cs="Arial"/>
          <w:lang w:val="en-US"/>
        </w:rPr>
        <w:t>is committed to investment in frontline priorities</w:t>
      </w:r>
    </w:p>
    <w:p w14:paraId="418D10CE" w14:textId="77777777" w:rsidR="00B5452E" w:rsidRPr="001859C2" w:rsidRDefault="00B5452E" w:rsidP="00B5452E">
      <w:pPr>
        <w:pStyle w:val="ListParagraph"/>
        <w:ind w:left="1287"/>
        <w:jc w:val="both"/>
        <w:rPr>
          <w:rFonts w:cs="Arial"/>
          <w:lang w:val="en-US"/>
        </w:rPr>
      </w:pPr>
    </w:p>
    <w:p w14:paraId="5BCA84C7" w14:textId="77777777" w:rsidR="00B5452E" w:rsidRPr="001859C2" w:rsidRDefault="00B5452E" w:rsidP="00B5452E">
      <w:pPr>
        <w:pStyle w:val="ListParagraph"/>
        <w:numPr>
          <w:ilvl w:val="0"/>
          <w:numId w:val="26"/>
        </w:numPr>
        <w:jc w:val="both"/>
        <w:rPr>
          <w:rFonts w:cs="Arial"/>
          <w:lang w:val="en-US"/>
        </w:rPr>
      </w:pPr>
      <w:r w:rsidRPr="001859C2">
        <w:rPr>
          <w:rFonts w:cs="Arial"/>
          <w:b/>
          <w:bCs/>
          <w:lang w:val="en-US"/>
        </w:rPr>
        <w:t>Budget Planning Reserve</w:t>
      </w:r>
      <w:r w:rsidRPr="001859C2">
        <w:rPr>
          <w:rFonts w:cs="Arial"/>
          <w:lang w:val="en-US"/>
        </w:rPr>
        <w:t xml:space="preserve"> – this reserve was established to support future MTFS. £14.711m is earmarked to the 2022-23 budget and £6m is assumed in current </w:t>
      </w:r>
      <w:proofErr w:type="gramStart"/>
      <w:r w:rsidRPr="001859C2">
        <w:rPr>
          <w:rFonts w:cs="Arial"/>
          <w:lang w:val="en-US"/>
        </w:rPr>
        <w:t>plans  to</w:t>
      </w:r>
      <w:proofErr w:type="gramEnd"/>
      <w:r w:rsidRPr="001859C2">
        <w:rPr>
          <w:rFonts w:cs="Arial"/>
          <w:lang w:val="en-US"/>
        </w:rPr>
        <w:t xml:space="preserve"> support the 2023-24 budget.</w:t>
      </w:r>
    </w:p>
    <w:p w14:paraId="464CF794" w14:textId="77777777" w:rsidR="00FE63BA" w:rsidRPr="001859C2" w:rsidRDefault="00FE63BA" w:rsidP="00FE63BA">
      <w:pPr>
        <w:pStyle w:val="ListParagraph"/>
        <w:rPr>
          <w:rFonts w:cs="Arial"/>
          <w:lang w:val="en-US"/>
        </w:rPr>
      </w:pPr>
    </w:p>
    <w:p w14:paraId="69D6982E" w14:textId="2B037217" w:rsidR="00894828" w:rsidRPr="001859C2" w:rsidRDefault="00FE63BA" w:rsidP="00AD3717">
      <w:pPr>
        <w:pStyle w:val="ListParagraph"/>
        <w:numPr>
          <w:ilvl w:val="0"/>
          <w:numId w:val="26"/>
        </w:numPr>
        <w:jc w:val="both"/>
        <w:rPr>
          <w:rFonts w:cs="Arial"/>
          <w:b/>
          <w:bCs/>
          <w:lang w:val="en-US"/>
        </w:rPr>
      </w:pPr>
      <w:r w:rsidRPr="001859C2">
        <w:rPr>
          <w:rFonts w:cs="Arial"/>
          <w:b/>
          <w:bCs/>
          <w:lang w:val="en-US"/>
        </w:rPr>
        <w:t>Capacity Building Reserve</w:t>
      </w:r>
      <w:r w:rsidRPr="001859C2">
        <w:rPr>
          <w:rFonts w:cs="Arial"/>
          <w:lang w:val="en-US"/>
        </w:rPr>
        <w:t xml:space="preserve"> – this reserve was established to support organisational transformation costs. </w:t>
      </w:r>
    </w:p>
    <w:p w14:paraId="3E3CACC1" w14:textId="77777777" w:rsidR="00FE63BA" w:rsidRPr="00FE63BA" w:rsidRDefault="00FE63BA" w:rsidP="00FE63BA">
      <w:pPr>
        <w:jc w:val="both"/>
        <w:rPr>
          <w:rFonts w:cs="Arial"/>
          <w:b/>
          <w:bCs/>
          <w:lang w:val="en-US"/>
        </w:rPr>
      </w:pPr>
    </w:p>
    <w:p w14:paraId="6C95D99A" w14:textId="7D53E373" w:rsidR="00FE63BA" w:rsidRPr="00954920" w:rsidRDefault="00FE63BA" w:rsidP="007A4D31">
      <w:pPr>
        <w:pStyle w:val="ListParagraph"/>
        <w:numPr>
          <w:ilvl w:val="0"/>
          <w:numId w:val="5"/>
        </w:numPr>
        <w:ind w:left="460" w:hanging="567"/>
        <w:jc w:val="both"/>
        <w:rPr>
          <w:rFonts w:cs="Arial"/>
          <w:b/>
          <w:bCs/>
        </w:rPr>
      </w:pPr>
      <w:r w:rsidRPr="00954920">
        <w:rPr>
          <w:rFonts w:cs="Arial"/>
          <w:b/>
          <w:bCs/>
        </w:rPr>
        <w:t>New</w:t>
      </w:r>
      <w:r w:rsidR="00954920">
        <w:rPr>
          <w:rFonts w:cs="Arial"/>
          <w:b/>
          <w:bCs/>
        </w:rPr>
        <w:t xml:space="preserve"> Earmarked</w:t>
      </w:r>
      <w:r w:rsidRPr="00954920">
        <w:rPr>
          <w:rFonts w:cs="Arial"/>
          <w:b/>
          <w:bCs/>
        </w:rPr>
        <w:t xml:space="preserve"> Reserves</w:t>
      </w:r>
    </w:p>
    <w:p w14:paraId="647E0041" w14:textId="77777777" w:rsidR="00FE63BA" w:rsidRPr="00FE63BA" w:rsidRDefault="00FE63BA" w:rsidP="00FE63BA">
      <w:pPr>
        <w:jc w:val="both"/>
        <w:rPr>
          <w:rFonts w:cs="Arial"/>
        </w:rPr>
      </w:pPr>
    </w:p>
    <w:p w14:paraId="69B2C003" w14:textId="083ABDC6" w:rsidR="00FE63BA" w:rsidRDefault="00FE63BA" w:rsidP="007A4D31">
      <w:pPr>
        <w:pStyle w:val="ListParagraph"/>
        <w:numPr>
          <w:ilvl w:val="0"/>
          <w:numId w:val="5"/>
        </w:numPr>
        <w:ind w:left="460" w:hanging="567"/>
        <w:jc w:val="both"/>
        <w:rPr>
          <w:rFonts w:cs="Arial"/>
        </w:rPr>
      </w:pPr>
      <w:r>
        <w:rPr>
          <w:rFonts w:cs="Arial"/>
        </w:rPr>
        <w:t xml:space="preserve">In addition to the existing reserves set out above, there have been </w:t>
      </w:r>
      <w:r w:rsidR="00605CEF">
        <w:rPr>
          <w:rFonts w:cs="Arial"/>
        </w:rPr>
        <w:t>four</w:t>
      </w:r>
      <w:r>
        <w:rPr>
          <w:rFonts w:cs="Arial"/>
        </w:rPr>
        <w:t xml:space="preserve"> new </w:t>
      </w:r>
      <w:r w:rsidR="00452CAC">
        <w:rPr>
          <w:rFonts w:cs="Arial"/>
        </w:rPr>
        <w:t>reserves</w:t>
      </w:r>
      <w:r>
        <w:rPr>
          <w:rFonts w:cs="Arial"/>
        </w:rPr>
        <w:t xml:space="preserve"> established in 2021-22:</w:t>
      </w:r>
    </w:p>
    <w:p w14:paraId="60E36D5F" w14:textId="77777777" w:rsidR="00FE63BA" w:rsidRPr="00DB0F1C" w:rsidRDefault="00FE63BA" w:rsidP="00FE63BA">
      <w:pPr>
        <w:pStyle w:val="ListParagraph"/>
        <w:rPr>
          <w:rFonts w:cs="Arial"/>
        </w:rPr>
      </w:pPr>
    </w:p>
    <w:p w14:paraId="7F1CA89F" w14:textId="77777777" w:rsidR="00B5452E" w:rsidRPr="001859C2" w:rsidRDefault="00B5452E" w:rsidP="00B5452E">
      <w:pPr>
        <w:pStyle w:val="ListParagraph"/>
        <w:rPr>
          <w:rFonts w:cs="Arial"/>
          <w:color w:val="FF0000"/>
          <w:lang w:val="en-US"/>
        </w:rPr>
      </w:pPr>
    </w:p>
    <w:p w14:paraId="097DEA6E" w14:textId="239CBF23" w:rsidR="00B5452E" w:rsidRPr="00B5452E" w:rsidRDefault="00B5452E" w:rsidP="00B5452E">
      <w:pPr>
        <w:pStyle w:val="ListParagraph"/>
        <w:numPr>
          <w:ilvl w:val="0"/>
          <w:numId w:val="26"/>
        </w:numPr>
        <w:jc w:val="both"/>
        <w:rPr>
          <w:rFonts w:cs="Arial"/>
          <w:lang w:val="en-US"/>
        </w:rPr>
      </w:pPr>
      <w:r w:rsidRPr="00B5452E">
        <w:rPr>
          <w:rFonts w:cs="Arial"/>
          <w:b/>
          <w:bCs/>
          <w:lang w:val="en-US"/>
        </w:rPr>
        <w:t>1 Hour Free Parking</w:t>
      </w:r>
      <w:r w:rsidRPr="00B5452E">
        <w:rPr>
          <w:rFonts w:cs="Arial"/>
          <w:lang w:val="en-US"/>
        </w:rPr>
        <w:t xml:space="preserve"> - this reserve has been established to fund the 2022-23 implications of the 1 </w:t>
      </w:r>
      <w:proofErr w:type="spellStart"/>
      <w:r w:rsidRPr="00B5452E">
        <w:rPr>
          <w:rFonts w:cs="Arial"/>
          <w:lang w:val="en-US"/>
        </w:rPr>
        <w:t>hr</w:t>
      </w:r>
      <w:proofErr w:type="spellEnd"/>
      <w:r w:rsidRPr="00B5452E">
        <w:rPr>
          <w:rFonts w:cs="Arial"/>
          <w:lang w:val="en-US"/>
        </w:rPr>
        <w:t xml:space="preserve"> free parking initiative (as reported to Cabinet in June 2022).</w:t>
      </w:r>
    </w:p>
    <w:p w14:paraId="591FD6C0" w14:textId="357E6A7A" w:rsidR="00B5452E" w:rsidRDefault="00B5452E" w:rsidP="00954920">
      <w:pPr>
        <w:pStyle w:val="ListParagraph"/>
        <w:ind w:left="1276"/>
        <w:jc w:val="both"/>
        <w:rPr>
          <w:rFonts w:cs="Arial"/>
        </w:rPr>
      </w:pPr>
    </w:p>
    <w:p w14:paraId="13B057C2" w14:textId="0B044469" w:rsidR="00954920" w:rsidRPr="001859C2" w:rsidRDefault="00954920" w:rsidP="00FE63BA">
      <w:pPr>
        <w:pStyle w:val="ListParagraph"/>
        <w:numPr>
          <w:ilvl w:val="1"/>
          <w:numId w:val="5"/>
        </w:numPr>
        <w:ind w:left="1276" w:hanging="283"/>
        <w:jc w:val="both"/>
        <w:rPr>
          <w:rFonts w:cs="Arial"/>
        </w:rPr>
      </w:pPr>
      <w:r w:rsidRPr="001859C2">
        <w:rPr>
          <w:rFonts w:cs="Arial"/>
          <w:b/>
          <w:bCs/>
        </w:rPr>
        <w:t>Insurance Reserve</w:t>
      </w:r>
      <w:r w:rsidRPr="001859C2">
        <w:rPr>
          <w:rFonts w:cs="Arial"/>
        </w:rPr>
        <w:t xml:space="preserve"> – an audit review of the insurance provision identified that the provision is currently too high. The provision has been reduced and the funds set aside in this reserve earmarked to fund any increases in insurance provision required in the future.</w:t>
      </w:r>
    </w:p>
    <w:p w14:paraId="36B6CE78" w14:textId="77777777" w:rsidR="00954920" w:rsidRPr="00954920" w:rsidRDefault="00954920" w:rsidP="00954920">
      <w:pPr>
        <w:pStyle w:val="ListParagraph"/>
        <w:rPr>
          <w:rFonts w:cs="Arial"/>
          <w:color w:val="FF0000"/>
          <w:highlight w:val="yellow"/>
        </w:rPr>
      </w:pPr>
    </w:p>
    <w:p w14:paraId="3DC12BB7" w14:textId="486A71B5" w:rsidR="00954920" w:rsidRDefault="00954920" w:rsidP="00FE63BA">
      <w:pPr>
        <w:pStyle w:val="ListParagraph"/>
        <w:numPr>
          <w:ilvl w:val="1"/>
          <w:numId w:val="5"/>
        </w:numPr>
        <w:ind w:left="1276" w:hanging="283"/>
        <w:jc w:val="both"/>
        <w:rPr>
          <w:rFonts w:cs="Arial"/>
        </w:rPr>
      </w:pPr>
      <w:bookmarkStart w:id="8" w:name="_Hlk106101288"/>
      <w:r w:rsidRPr="00DB0F1C">
        <w:rPr>
          <w:rFonts w:cs="Arial"/>
          <w:b/>
          <w:bCs/>
        </w:rPr>
        <w:t>Mortuary Reserve</w:t>
      </w:r>
      <w:r w:rsidRPr="00DB0F1C">
        <w:rPr>
          <w:rFonts w:cs="Arial"/>
        </w:rPr>
        <w:t xml:space="preserve"> – this reserve has been established to contribute to expansion of </w:t>
      </w:r>
      <w:r w:rsidR="00DB0F1C" w:rsidRPr="00DB0F1C">
        <w:rPr>
          <w:rFonts w:cs="Arial"/>
        </w:rPr>
        <w:t xml:space="preserve">the public mortuary at Northwick Park Hospital which is shared between Harrow, </w:t>
      </w:r>
      <w:proofErr w:type="gramStart"/>
      <w:r w:rsidR="00DB0F1C" w:rsidRPr="00DB0F1C">
        <w:rPr>
          <w:rFonts w:cs="Arial"/>
        </w:rPr>
        <w:t>Brent</w:t>
      </w:r>
      <w:proofErr w:type="gramEnd"/>
      <w:r w:rsidR="00DB0F1C" w:rsidRPr="00DB0F1C">
        <w:rPr>
          <w:rFonts w:cs="Arial"/>
        </w:rPr>
        <w:t xml:space="preserve"> and Barnet under </w:t>
      </w:r>
      <w:r w:rsidR="00452CAC" w:rsidRPr="00DB0F1C">
        <w:rPr>
          <w:rFonts w:cs="Arial"/>
        </w:rPr>
        <w:t>an</w:t>
      </w:r>
      <w:r w:rsidR="00DB0F1C" w:rsidRPr="00DB0F1C">
        <w:rPr>
          <w:rFonts w:cs="Arial"/>
        </w:rPr>
        <w:t xml:space="preserve"> SLA.</w:t>
      </w:r>
    </w:p>
    <w:p w14:paraId="1975CFD4" w14:textId="77777777" w:rsidR="00B5452E" w:rsidRPr="00B5452E" w:rsidRDefault="00B5452E" w:rsidP="00B5452E">
      <w:pPr>
        <w:pStyle w:val="ListParagraph"/>
        <w:rPr>
          <w:rFonts w:cs="Arial"/>
        </w:rPr>
      </w:pPr>
    </w:p>
    <w:p w14:paraId="2C8C9385" w14:textId="77777777" w:rsidR="00B5452E" w:rsidRPr="00DB0F1C" w:rsidRDefault="00B5452E" w:rsidP="00B5452E">
      <w:pPr>
        <w:pStyle w:val="ListParagraph"/>
        <w:numPr>
          <w:ilvl w:val="1"/>
          <w:numId w:val="5"/>
        </w:numPr>
        <w:ind w:left="1276" w:hanging="283"/>
        <w:jc w:val="both"/>
        <w:rPr>
          <w:rFonts w:cs="Arial"/>
        </w:rPr>
      </w:pPr>
      <w:bookmarkStart w:id="9" w:name="_Hlk106101279"/>
      <w:r w:rsidRPr="00DB0F1C">
        <w:rPr>
          <w:rFonts w:cs="Arial"/>
          <w:b/>
          <w:bCs/>
        </w:rPr>
        <w:t>3G Pitch Reserve</w:t>
      </w:r>
      <w:r w:rsidRPr="00DB0F1C">
        <w:rPr>
          <w:rFonts w:cs="Arial"/>
        </w:rPr>
        <w:t xml:space="preserve"> – this reserve has been established to hold a sinking fund using income generated from the 3G pitch so that investment funding is in place when the pitch is due for replacement in future. This is part of the grant conditions of Footballs Foundation for the award of funding to install a new 3G pitch at Bannister Sports Club.</w:t>
      </w:r>
    </w:p>
    <w:bookmarkEnd w:id="9"/>
    <w:p w14:paraId="3698F68F" w14:textId="77777777" w:rsidR="00B5452E" w:rsidRPr="00DB0F1C" w:rsidRDefault="00B5452E" w:rsidP="00B5452E">
      <w:pPr>
        <w:pStyle w:val="ListParagraph"/>
        <w:ind w:left="1276"/>
        <w:jc w:val="both"/>
        <w:rPr>
          <w:rFonts w:cs="Arial"/>
        </w:rPr>
      </w:pPr>
    </w:p>
    <w:bookmarkEnd w:id="8"/>
    <w:p w14:paraId="1AD9DD53" w14:textId="71EE9ABA" w:rsidR="005B3414" w:rsidRPr="00A9620D" w:rsidRDefault="005B3414" w:rsidP="007A4D31">
      <w:pPr>
        <w:pStyle w:val="ListParagraph"/>
        <w:numPr>
          <w:ilvl w:val="0"/>
          <w:numId w:val="5"/>
        </w:numPr>
        <w:ind w:left="460" w:hanging="567"/>
        <w:jc w:val="both"/>
        <w:rPr>
          <w:rFonts w:cs="Arial"/>
        </w:rPr>
      </w:pPr>
      <w:r w:rsidRPr="00A9620D">
        <w:rPr>
          <w:rFonts w:cs="Arial"/>
          <w:b/>
          <w:bCs/>
          <w:lang w:val="en-US"/>
        </w:rPr>
        <w:t xml:space="preserve">General Fund Reserves </w:t>
      </w:r>
    </w:p>
    <w:p w14:paraId="3198C6C9" w14:textId="77777777" w:rsidR="00E41F8A" w:rsidRPr="00A9620D" w:rsidRDefault="00E41F8A" w:rsidP="00E41F8A">
      <w:pPr>
        <w:pStyle w:val="ListParagraph"/>
        <w:ind w:left="1180"/>
        <w:jc w:val="both"/>
        <w:rPr>
          <w:rFonts w:cs="Arial"/>
        </w:rPr>
      </w:pPr>
    </w:p>
    <w:p w14:paraId="4289EDF1" w14:textId="5F6144C9" w:rsidR="005B3414" w:rsidRPr="00A9620D" w:rsidRDefault="005B3414" w:rsidP="007A4D31">
      <w:pPr>
        <w:pStyle w:val="ListParagraph"/>
        <w:numPr>
          <w:ilvl w:val="0"/>
          <w:numId w:val="29"/>
        </w:numPr>
        <w:jc w:val="both"/>
        <w:rPr>
          <w:rFonts w:cs="Arial"/>
        </w:rPr>
      </w:pPr>
      <w:r w:rsidRPr="00A9620D">
        <w:rPr>
          <w:rFonts w:cs="Arial"/>
        </w:rPr>
        <w:t>General Fund Reserves remain at £10m.</w:t>
      </w:r>
    </w:p>
    <w:p w14:paraId="78A0DCF2" w14:textId="77777777" w:rsidR="003D4346" w:rsidRPr="00A9620D" w:rsidRDefault="003D4346" w:rsidP="00854BE1">
      <w:pPr>
        <w:ind w:left="567"/>
        <w:jc w:val="both"/>
        <w:rPr>
          <w:rFonts w:cs="Arial"/>
          <w:b/>
          <w:bCs/>
        </w:rPr>
      </w:pPr>
    </w:p>
    <w:p w14:paraId="6609E038" w14:textId="77777777" w:rsidR="00F90145" w:rsidRPr="008B0567" w:rsidRDefault="00F90145" w:rsidP="00F90145">
      <w:pPr>
        <w:pStyle w:val="ListParagraph"/>
        <w:ind w:left="460"/>
        <w:jc w:val="both"/>
        <w:rPr>
          <w:rFonts w:cs="Arial"/>
          <w:b/>
          <w:bCs/>
        </w:rPr>
      </w:pPr>
      <w:r w:rsidRPr="008B0567">
        <w:rPr>
          <w:rFonts w:cs="Arial"/>
          <w:b/>
          <w:bCs/>
        </w:rPr>
        <w:t>GRANTS</w:t>
      </w:r>
    </w:p>
    <w:p w14:paraId="23EBC1DA" w14:textId="77777777" w:rsidR="00F90145" w:rsidRPr="008B0567" w:rsidRDefault="00F90145" w:rsidP="00F90145">
      <w:pPr>
        <w:pStyle w:val="ListParagraph"/>
        <w:ind w:left="460"/>
        <w:jc w:val="both"/>
        <w:rPr>
          <w:rFonts w:cs="Arial"/>
          <w:b/>
          <w:bCs/>
        </w:rPr>
      </w:pPr>
    </w:p>
    <w:p w14:paraId="26788530" w14:textId="7BD02C89" w:rsidR="00F90145" w:rsidRPr="00C81665" w:rsidRDefault="00F90145" w:rsidP="00F90145">
      <w:pPr>
        <w:pStyle w:val="ListParagraph"/>
        <w:numPr>
          <w:ilvl w:val="0"/>
          <w:numId w:val="5"/>
        </w:numPr>
        <w:ind w:left="460" w:hanging="567"/>
        <w:jc w:val="both"/>
        <w:rPr>
          <w:rFonts w:cs="Arial"/>
          <w:b/>
          <w:bCs/>
        </w:rPr>
      </w:pPr>
      <w:r w:rsidRPr="008B0567">
        <w:rPr>
          <w:rFonts w:cs="Arial"/>
        </w:rPr>
        <w:t xml:space="preserve">Attached at Appendix </w:t>
      </w:r>
      <w:r w:rsidR="00B5452E">
        <w:rPr>
          <w:rFonts w:cs="Arial"/>
        </w:rPr>
        <w:t>1</w:t>
      </w:r>
      <w:r w:rsidRPr="008B0567">
        <w:rPr>
          <w:rFonts w:cs="Arial"/>
        </w:rPr>
        <w:t xml:space="preserve"> is a schedule of all the grants the Council </w:t>
      </w:r>
      <w:r>
        <w:rPr>
          <w:rFonts w:cs="Arial"/>
        </w:rPr>
        <w:t xml:space="preserve">received </w:t>
      </w:r>
      <w:r w:rsidRPr="008B0567">
        <w:rPr>
          <w:rFonts w:cs="Arial"/>
        </w:rPr>
        <w:t>in 2021</w:t>
      </w:r>
      <w:r>
        <w:rPr>
          <w:rFonts w:cs="Arial"/>
        </w:rPr>
        <w:t>-</w:t>
      </w:r>
      <w:r w:rsidRPr="008B0567">
        <w:rPr>
          <w:rFonts w:cs="Arial"/>
        </w:rPr>
        <w:t>22</w:t>
      </w:r>
      <w:r>
        <w:rPr>
          <w:rFonts w:cs="Arial"/>
        </w:rPr>
        <w:t xml:space="preserve">. </w:t>
      </w:r>
    </w:p>
    <w:p w14:paraId="78977900" w14:textId="508F05B5" w:rsidR="00F90145" w:rsidRDefault="00F90145" w:rsidP="00854BE1">
      <w:pPr>
        <w:ind w:left="567"/>
        <w:jc w:val="both"/>
        <w:rPr>
          <w:rFonts w:cs="Arial"/>
          <w:b/>
          <w:bCs/>
        </w:rPr>
      </w:pPr>
    </w:p>
    <w:p w14:paraId="312CDFBD" w14:textId="4E491EA8" w:rsidR="00854BE1" w:rsidRPr="00A9620D" w:rsidRDefault="00854BE1" w:rsidP="00854BE1">
      <w:pPr>
        <w:ind w:left="567"/>
        <w:jc w:val="both"/>
        <w:rPr>
          <w:rFonts w:cs="Arial"/>
          <w:b/>
          <w:bCs/>
        </w:rPr>
      </w:pPr>
      <w:r w:rsidRPr="00A9620D">
        <w:rPr>
          <w:rFonts w:cs="Arial"/>
          <w:b/>
          <w:bCs/>
        </w:rPr>
        <w:t>C</w:t>
      </w:r>
      <w:r w:rsidR="00250FEF" w:rsidRPr="00A9620D">
        <w:rPr>
          <w:rFonts w:cs="Arial"/>
          <w:b/>
          <w:bCs/>
        </w:rPr>
        <w:t>ARRY FORWARDS</w:t>
      </w:r>
    </w:p>
    <w:p w14:paraId="1D787F83" w14:textId="77777777" w:rsidR="00854BE1" w:rsidRPr="00A9620D" w:rsidRDefault="0051010C" w:rsidP="00854BE1">
      <w:pPr>
        <w:pStyle w:val="ListParagraph"/>
        <w:ind w:left="567"/>
        <w:jc w:val="both"/>
        <w:rPr>
          <w:rFonts w:cs="Arial"/>
          <w:lang w:val="en-US"/>
        </w:rPr>
      </w:pPr>
      <w:r w:rsidRPr="00A9620D">
        <w:rPr>
          <w:rFonts w:cs="Arial"/>
        </w:rPr>
        <w:t xml:space="preserve"> </w:t>
      </w:r>
    </w:p>
    <w:p w14:paraId="64ABBED6" w14:textId="31CE290E" w:rsidR="00390067" w:rsidRPr="00A41043" w:rsidRDefault="005B3414" w:rsidP="007A4D31">
      <w:pPr>
        <w:pStyle w:val="ListParagraph"/>
        <w:numPr>
          <w:ilvl w:val="0"/>
          <w:numId w:val="5"/>
        </w:numPr>
        <w:ind w:left="460" w:hanging="567"/>
        <w:jc w:val="both"/>
        <w:rPr>
          <w:rFonts w:cs="Arial"/>
          <w:lang w:val="en-US"/>
        </w:rPr>
      </w:pPr>
      <w:r w:rsidRPr="00A41043">
        <w:rPr>
          <w:rFonts w:cs="Arial"/>
          <w:lang w:val="en-US"/>
        </w:rPr>
        <w:t>Attached</w:t>
      </w:r>
      <w:r w:rsidR="00854BE1" w:rsidRPr="00A41043">
        <w:rPr>
          <w:rFonts w:cs="Arial"/>
          <w:lang w:val="en-US"/>
        </w:rPr>
        <w:t xml:space="preserve"> at Appendix </w:t>
      </w:r>
      <w:r w:rsidR="008C77BE">
        <w:rPr>
          <w:rFonts w:cs="Arial"/>
          <w:lang w:val="en-US"/>
        </w:rPr>
        <w:t>2</w:t>
      </w:r>
      <w:r w:rsidR="00854BE1" w:rsidRPr="00A41043">
        <w:rPr>
          <w:rFonts w:cs="Arial"/>
          <w:lang w:val="en-US"/>
        </w:rPr>
        <w:t xml:space="preserve"> is a schedule of the </w:t>
      </w:r>
      <w:r w:rsidR="00FB0BB7" w:rsidRPr="00A41043">
        <w:rPr>
          <w:rFonts w:cs="Arial"/>
          <w:lang w:val="en-US"/>
        </w:rPr>
        <w:t xml:space="preserve">revenue </w:t>
      </w:r>
      <w:r w:rsidR="00854BE1" w:rsidRPr="00A41043">
        <w:rPr>
          <w:rFonts w:cs="Arial"/>
          <w:lang w:val="en-US"/>
        </w:rPr>
        <w:t xml:space="preserve">budget carry forwards included in the final outturn for </w:t>
      </w:r>
      <w:r w:rsidR="00A9620D" w:rsidRPr="00A41043">
        <w:rPr>
          <w:rFonts w:cs="Arial"/>
          <w:lang w:val="en-US"/>
        </w:rPr>
        <w:t>2021-22</w:t>
      </w:r>
      <w:r w:rsidR="00966427" w:rsidRPr="00A41043">
        <w:rPr>
          <w:rFonts w:cs="Arial"/>
          <w:lang w:val="en-US"/>
        </w:rPr>
        <w:t xml:space="preserve"> </w:t>
      </w:r>
      <w:r w:rsidR="00A41043" w:rsidRPr="00A41043">
        <w:rPr>
          <w:lang w:val="en-US"/>
        </w:rPr>
        <w:t>that will be carried forward to 2022-23. The revenue carry forwards have been agreed by the Director of Finance in accordance with Financial Regulations.</w:t>
      </w:r>
    </w:p>
    <w:p w14:paraId="0F34628F" w14:textId="26BE3204" w:rsidR="00A9620D" w:rsidRDefault="00A9620D" w:rsidP="00A9620D">
      <w:pPr>
        <w:jc w:val="both"/>
        <w:rPr>
          <w:rFonts w:cs="Arial"/>
          <w:b/>
          <w:bCs/>
          <w:color w:val="FF0000"/>
        </w:rPr>
      </w:pPr>
    </w:p>
    <w:p w14:paraId="1A843C30" w14:textId="62A86F3A" w:rsidR="00AE640A" w:rsidRPr="00A9620D" w:rsidRDefault="007518BE" w:rsidP="000D6CA4">
      <w:pPr>
        <w:pStyle w:val="ListParagraph"/>
        <w:ind w:left="567"/>
        <w:jc w:val="both"/>
        <w:rPr>
          <w:rFonts w:cs="Arial"/>
          <w:lang w:val="en-US"/>
        </w:rPr>
      </w:pPr>
      <w:r w:rsidRPr="00A9620D">
        <w:rPr>
          <w:rFonts w:cs="Arial"/>
          <w:b/>
          <w:szCs w:val="24"/>
        </w:rPr>
        <w:t>MTFS IMPLEMENTATION TRACKER</w:t>
      </w:r>
    </w:p>
    <w:p w14:paraId="200C9CE2" w14:textId="54CA993D" w:rsidR="00AE640A" w:rsidRPr="00A9620D" w:rsidRDefault="00AE640A" w:rsidP="000D6CA4">
      <w:pPr>
        <w:pStyle w:val="ListParagraph"/>
        <w:jc w:val="both"/>
        <w:rPr>
          <w:rFonts w:cs="Arial"/>
          <w:szCs w:val="24"/>
          <w:lang w:val="en-US"/>
        </w:rPr>
      </w:pPr>
    </w:p>
    <w:p w14:paraId="2D477F98" w14:textId="3404E1B3" w:rsidR="00966427" w:rsidRPr="00A9620D" w:rsidRDefault="00101FE5" w:rsidP="007A4D31">
      <w:pPr>
        <w:pStyle w:val="ListParagraph"/>
        <w:numPr>
          <w:ilvl w:val="0"/>
          <w:numId w:val="5"/>
        </w:numPr>
        <w:ind w:left="460" w:hanging="567"/>
        <w:jc w:val="both"/>
        <w:rPr>
          <w:rFonts w:cs="Arial"/>
          <w:szCs w:val="24"/>
          <w:lang w:val="en-US"/>
        </w:rPr>
      </w:pPr>
      <w:r w:rsidRPr="00A9620D">
        <w:rPr>
          <w:rFonts w:cs="Arial"/>
          <w:szCs w:val="24"/>
          <w:lang w:val="en-US"/>
        </w:rPr>
        <w:t xml:space="preserve">The </w:t>
      </w:r>
      <w:r w:rsidR="00A9620D" w:rsidRPr="00A9620D">
        <w:rPr>
          <w:rFonts w:cs="Arial"/>
          <w:szCs w:val="24"/>
          <w:lang w:val="en-US"/>
        </w:rPr>
        <w:t>2021-22</w:t>
      </w:r>
      <w:r w:rsidRPr="00A9620D">
        <w:rPr>
          <w:rFonts w:cs="Arial"/>
          <w:szCs w:val="24"/>
          <w:lang w:val="en-US"/>
        </w:rPr>
        <w:t xml:space="preserve"> budget includes approved MTFS savings of £</w:t>
      </w:r>
      <w:r w:rsidR="00C97CDB" w:rsidRPr="00A9620D">
        <w:rPr>
          <w:rFonts w:cs="Arial"/>
          <w:szCs w:val="24"/>
          <w:lang w:val="en-US"/>
        </w:rPr>
        <w:t>3.</w:t>
      </w:r>
      <w:r w:rsidR="00A9620D" w:rsidRPr="00A9620D">
        <w:rPr>
          <w:rFonts w:cs="Arial"/>
          <w:szCs w:val="24"/>
          <w:lang w:val="en-US"/>
        </w:rPr>
        <w:t>443</w:t>
      </w:r>
      <w:r w:rsidRPr="00A9620D">
        <w:rPr>
          <w:rFonts w:cs="Arial"/>
          <w:szCs w:val="24"/>
          <w:lang w:val="en-US"/>
        </w:rPr>
        <w:t>m</w:t>
      </w:r>
      <w:r w:rsidR="00703EAC" w:rsidRPr="00A9620D">
        <w:rPr>
          <w:rFonts w:cs="Arial"/>
          <w:szCs w:val="24"/>
          <w:lang w:val="en-US"/>
        </w:rPr>
        <w:t>.</w:t>
      </w:r>
    </w:p>
    <w:p w14:paraId="5722ACC0" w14:textId="77777777" w:rsidR="00966427" w:rsidRPr="00B37833" w:rsidRDefault="00966427" w:rsidP="00966427">
      <w:pPr>
        <w:pStyle w:val="ListParagraph"/>
        <w:ind w:left="460"/>
        <w:jc w:val="both"/>
        <w:rPr>
          <w:rFonts w:cs="Arial"/>
          <w:color w:val="FF0000"/>
          <w:szCs w:val="24"/>
          <w:lang w:val="en-US"/>
        </w:rPr>
      </w:pPr>
    </w:p>
    <w:p w14:paraId="3841D7F4" w14:textId="0E376A91" w:rsidR="00966427" w:rsidRPr="00A9620D" w:rsidRDefault="00101FE5" w:rsidP="007A4D31">
      <w:pPr>
        <w:pStyle w:val="ListParagraph"/>
        <w:numPr>
          <w:ilvl w:val="0"/>
          <w:numId w:val="5"/>
        </w:numPr>
        <w:ind w:left="460" w:hanging="567"/>
        <w:jc w:val="both"/>
        <w:rPr>
          <w:rFonts w:cs="Arial"/>
          <w:szCs w:val="24"/>
          <w:lang w:val="en-US"/>
        </w:rPr>
      </w:pPr>
      <w:r w:rsidRPr="00A9620D">
        <w:rPr>
          <w:rFonts w:cs="Arial"/>
          <w:szCs w:val="24"/>
          <w:lang w:val="en-US"/>
        </w:rPr>
        <w:t xml:space="preserve">Appendix </w:t>
      </w:r>
      <w:r w:rsidR="008C77BE">
        <w:rPr>
          <w:rFonts w:cs="Arial"/>
          <w:szCs w:val="24"/>
          <w:lang w:val="en-US"/>
        </w:rPr>
        <w:t>3</w:t>
      </w:r>
      <w:r w:rsidRPr="00A9620D">
        <w:rPr>
          <w:rFonts w:cs="Arial"/>
          <w:szCs w:val="24"/>
          <w:lang w:val="en-US"/>
        </w:rPr>
        <w:t xml:space="preserve"> shows a list of the individual red, </w:t>
      </w:r>
      <w:r w:rsidR="00AD79C6" w:rsidRPr="00A9620D">
        <w:rPr>
          <w:rFonts w:cs="Arial"/>
          <w:szCs w:val="24"/>
          <w:lang w:val="en-US"/>
        </w:rPr>
        <w:t>amber, green</w:t>
      </w:r>
      <w:r w:rsidR="00C97CDB" w:rsidRPr="00A9620D">
        <w:rPr>
          <w:rFonts w:cs="Arial"/>
          <w:szCs w:val="24"/>
          <w:lang w:val="en-US"/>
        </w:rPr>
        <w:t xml:space="preserve"> and purple</w:t>
      </w:r>
      <w:r w:rsidRPr="00A9620D">
        <w:rPr>
          <w:rFonts w:cs="Arial"/>
          <w:szCs w:val="24"/>
          <w:lang w:val="en-US"/>
        </w:rPr>
        <w:t xml:space="preserve"> rated savings in the MTFS. The definition used to classify savings ratings in </w:t>
      </w:r>
      <w:r w:rsidR="00C018C0" w:rsidRPr="00A9620D">
        <w:rPr>
          <w:rFonts w:cs="Arial"/>
          <w:szCs w:val="24"/>
          <w:lang w:val="en-US"/>
        </w:rPr>
        <w:t xml:space="preserve">this report are detailed in </w:t>
      </w:r>
      <w:r w:rsidRPr="00A9620D">
        <w:rPr>
          <w:rFonts w:cs="Arial"/>
          <w:szCs w:val="24"/>
          <w:lang w:val="en-US"/>
        </w:rPr>
        <w:t>table</w:t>
      </w:r>
      <w:r w:rsidR="00C018C0" w:rsidRPr="00A9620D">
        <w:rPr>
          <w:rFonts w:cs="Arial"/>
          <w:szCs w:val="24"/>
          <w:lang w:val="en-US"/>
        </w:rPr>
        <w:t xml:space="preserve"> </w:t>
      </w:r>
      <w:r w:rsidR="00C920C9">
        <w:rPr>
          <w:rFonts w:cs="Arial"/>
          <w:szCs w:val="24"/>
          <w:lang w:val="en-US"/>
        </w:rPr>
        <w:t>8</w:t>
      </w:r>
      <w:r w:rsidRPr="00A9620D">
        <w:rPr>
          <w:rFonts w:cs="Arial"/>
          <w:szCs w:val="24"/>
          <w:lang w:val="en-US"/>
        </w:rPr>
        <w:t xml:space="preserve"> below:</w:t>
      </w:r>
      <w:r w:rsidR="00966427" w:rsidRPr="00A9620D">
        <w:rPr>
          <w:rFonts w:cs="Arial"/>
          <w:szCs w:val="24"/>
          <w:lang w:val="en-US"/>
        </w:rPr>
        <w:t xml:space="preserve"> </w:t>
      </w:r>
    </w:p>
    <w:p w14:paraId="3BD73C2E" w14:textId="4D0ED8D9" w:rsidR="00AD4935" w:rsidRPr="00A9620D" w:rsidRDefault="00AD4935" w:rsidP="00AD4935">
      <w:pPr>
        <w:pStyle w:val="ListParagraph"/>
        <w:rPr>
          <w:rFonts w:cs="Arial"/>
          <w:lang w:val="en-US"/>
        </w:rPr>
      </w:pPr>
    </w:p>
    <w:p w14:paraId="67FB0811" w14:textId="6E6A3E6C" w:rsidR="00101FE5" w:rsidRPr="00C920C9" w:rsidRDefault="00EB4B9A" w:rsidP="00C920C9">
      <w:pPr>
        <w:tabs>
          <w:tab w:val="left" w:pos="709"/>
        </w:tabs>
        <w:jc w:val="both"/>
        <w:rPr>
          <w:rFonts w:cs="Arial"/>
          <w:b/>
          <w:szCs w:val="24"/>
          <w:u w:val="single"/>
          <w:lang w:val="en-US"/>
        </w:rPr>
      </w:pPr>
      <w:r w:rsidRPr="00C920C9">
        <w:rPr>
          <w:rFonts w:cs="Arial"/>
          <w:b/>
          <w:szCs w:val="24"/>
          <w:u w:val="single"/>
          <w:lang w:val="en-US"/>
        </w:rPr>
        <w:t>T</w:t>
      </w:r>
      <w:r w:rsidR="005178DB" w:rsidRPr="00C920C9">
        <w:rPr>
          <w:rFonts w:cs="Arial"/>
          <w:b/>
          <w:szCs w:val="24"/>
          <w:u w:val="single"/>
          <w:lang w:val="en-US"/>
        </w:rPr>
        <w:t xml:space="preserve">able </w:t>
      </w:r>
      <w:r w:rsidR="00C920C9">
        <w:rPr>
          <w:rFonts w:cs="Arial"/>
          <w:b/>
          <w:szCs w:val="24"/>
          <w:u w:val="single"/>
          <w:lang w:val="en-US"/>
        </w:rPr>
        <w:t>8</w:t>
      </w:r>
      <w:r w:rsidR="00101FE5" w:rsidRPr="00C920C9">
        <w:rPr>
          <w:rFonts w:cs="Arial"/>
          <w:b/>
          <w:szCs w:val="24"/>
          <w:u w:val="single"/>
          <w:lang w:val="en-US"/>
        </w:rPr>
        <w:t>: Savings Definition</w:t>
      </w:r>
    </w:p>
    <w:p w14:paraId="26759ED3" w14:textId="77777777" w:rsidR="00E41F8A" w:rsidRPr="00A9620D" w:rsidRDefault="00E41F8A" w:rsidP="003634DA">
      <w:pPr>
        <w:pStyle w:val="ListParagraph"/>
        <w:tabs>
          <w:tab w:val="left" w:pos="709"/>
        </w:tabs>
        <w:ind w:left="567"/>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3962"/>
        <w:gridCol w:w="4495"/>
      </w:tblGrid>
      <w:tr w:rsidR="00A9620D" w:rsidRPr="00A9620D" w14:paraId="537D025B" w14:textId="77777777" w:rsidTr="00DA2684">
        <w:tc>
          <w:tcPr>
            <w:tcW w:w="4043" w:type="dxa"/>
          </w:tcPr>
          <w:p w14:paraId="5AB5F74A" w14:textId="77777777" w:rsidR="00AD79C6" w:rsidRPr="00A9620D" w:rsidRDefault="00AD79C6" w:rsidP="00BA2A1D">
            <w:pPr>
              <w:rPr>
                <w:rFonts w:cs="Arial"/>
                <w:sz w:val="22"/>
                <w:szCs w:val="22"/>
              </w:rPr>
            </w:pPr>
            <w:r w:rsidRPr="00A9620D">
              <w:rPr>
                <w:rFonts w:cs="Arial"/>
                <w:b/>
                <w:sz w:val="22"/>
                <w:szCs w:val="22"/>
              </w:rPr>
              <w:t>Green</w:t>
            </w:r>
            <w:r w:rsidRPr="00A9620D">
              <w:rPr>
                <w:rFonts w:cs="Arial"/>
                <w:sz w:val="22"/>
                <w:szCs w:val="22"/>
              </w:rPr>
              <w:t xml:space="preserve"> – Low or no risk to delivery of savings</w:t>
            </w:r>
          </w:p>
        </w:tc>
        <w:tc>
          <w:tcPr>
            <w:tcW w:w="4599" w:type="dxa"/>
          </w:tcPr>
          <w:p w14:paraId="11DCA79B" w14:textId="77777777" w:rsidR="00AD79C6" w:rsidRPr="00A9620D" w:rsidRDefault="00AD79C6" w:rsidP="00BA2A1D">
            <w:pPr>
              <w:rPr>
                <w:rFonts w:cs="Arial"/>
                <w:sz w:val="22"/>
                <w:szCs w:val="22"/>
              </w:rPr>
            </w:pPr>
            <w:r w:rsidRPr="00A9620D">
              <w:rPr>
                <w:rFonts w:cs="Arial"/>
                <w:sz w:val="22"/>
                <w:szCs w:val="22"/>
              </w:rPr>
              <w:t>Clear delivery plans in place</w:t>
            </w:r>
          </w:p>
          <w:p w14:paraId="59169C74" w14:textId="77777777" w:rsidR="00AD79C6" w:rsidRPr="00A9620D" w:rsidRDefault="00AD79C6" w:rsidP="00BA2A1D">
            <w:pPr>
              <w:rPr>
                <w:rFonts w:cs="Arial"/>
                <w:sz w:val="22"/>
                <w:szCs w:val="22"/>
              </w:rPr>
            </w:pPr>
            <w:r w:rsidRPr="00A9620D">
              <w:rPr>
                <w:rFonts w:cs="Arial"/>
                <w:sz w:val="22"/>
                <w:szCs w:val="22"/>
              </w:rPr>
              <w:t>Project running to timescale</w:t>
            </w:r>
          </w:p>
        </w:tc>
      </w:tr>
      <w:tr w:rsidR="00A9620D" w:rsidRPr="00A9620D" w14:paraId="0DA922F4" w14:textId="77777777" w:rsidTr="00DA2684">
        <w:tc>
          <w:tcPr>
            <w:tcW w:w="4043" w:type="dxa"/>
          </w:tcPr>
          <w:p w14:paraId="7DD02C54" w14:textId="77777777" w:rsidR="00AD79C6" w:rsidRPr="00A9620D" w:rsidRDefault="00AD79C6" w:rsidP="00BA2A1D">
            <w:pPr>
              <w:rPr>
                <w:rFonts w:cs="Arial"/>
                <w:sz w:val="22"/>
                <w:szCs w:val="22"/>
              </w:rPr>
            </w:pPr>
            <w:r w:rsidRPr="00A9620D">
              <w:rPr>
                <w:rFonts w:cs="Arial"/>
                <w:b/>
                <w:sz w:val="22"/>
                <w:szCs w:val="22"/>
              </w:rPr>
              <w:t>Amber</w:t>
            </w:r>
            <w:r w:rsidRPr="00A9620D">
              <w:rPr>
                <w:rFonts w:cs="Arial"/>
                <w:sz w:val="22"/>
                <w:szCs w:val="22"/>
              </w:rPr>
              <w:t xml:space="preserve"> – Medium/some risk to delivery</w:t>
            </w:r>
          </w:p>
        </w:tc>
        <w:tc>
          <w:tcPr>
            <w:tcW w:w="4599" w:type="dxa"/>
          </w:tcPr>
          <w:p w14:paraId="36419976" w14:textId="77777777" w:rsidR="00AD79C6" w:rsidRPr="00A9620D" w:rsidRDefault="00AD79C6" w:rsidP="00BA2A1D">
            <w:pPr>
              <w:rPr>
                <w:rFonts w:cs="Arial"/>
                <w:sz w:val="22"/>
                <w:szCs w:val="22"/>
              </w:rPr>
            </w:pPr>
            <w:r w:rsidRPr="00A9620D">
              <w:rPr>
                <w:rFonts w:cs="Arial"/>
                <w:sz w:val="22"/>
                <w:szCs w:val="22"/>
              </w:rPr>
              <w:t>Potential for slippage but project will be delivered as originally intended but not within timescale, so saving will not be fully realised</w:t>
            </w:r>
          </w:p>
        </w:tc>
      </w:tr>
      <w:tr w:rsidR="00A9620D" w:rsidRPr="00A9620D" w14:paraId="2B74464C" w14:textId="77777777" w:rsidTr="00DA2684">
        <w:tc>
          <w:tcPr>
            <w:tcW w:w="4043" w:type="dxa"/>
          </w:tcPr>
          <w:p w14:paraId="2CAEB160" w14:textId="77777777" w:rsidR="00AD79C6" w:rsidRPr="00A9620D" w:rsidRDefault="00AD79C6" w:rsidP="00BA2A1D">
            <w:pPr>
              <w:rPr>
                <w:rFonts w:cs="Arial"/>
                <w:sz w:val="22"/>
                <w:szCs w:val="22"/>
              </w:rPr>
            </w:pPr>
            <w:r w:rsidRPr="00A9620D">
              <w:rPr>
                <w:rFonts w:cs="Arial"/>
                <w:b/>
                <w:sz w:val="22"/>
                <w:szCs w:val="22"/>
              </w:rPr>
              <w:t>Red</w:t>
            </w:r>
            <w:r w:rsidRPr="00A9620D">
              <w:rPr>
                <w:rFonts w:cs="Arial"/>
                <w:sz w:val="22"/>
                <w:szCs w:val="22"/>
              </w:rPr>
              <w:t xml:space="preserve"> – High risk to delivering forecast savings</w:t>
            </w:r>
          </w:p>
        </w:tc>
        <w:tc>
          <w:tcPr>
            <w:tcW w:w="4599" w:type="dxa"/>
          </w:tcPr>
          <w:p w14:paraId="44D77555" w14:textId="77777777" w:rsidR="00AD79C6" w:rsidRPr="00A9620D" w:rsidRDefault="00AD79C6" w:rsidP="00BA2A1D">
            <w:pPr>
              <w:rPr>
                <w:rFonts w:cs="Arial"/>
                <w:sz w:val="22"/>
                <w:szCs w:val="22"/>
              </w:rPr>
            </w:pPr>
            <w:r w:rsidRPr="00A9620D">
              <w:rPr>
                <w:rFonts w:cs="Arial"/>
                <w:sz w:val="22"/>
                <w:szCs w:val="22"/>
              </w:rPr>
              <w:t xml:space="preserve">Project may have started but will deliver </w:t>
            </w:r>
            <w:r w:rsidRPr="00A9620D">
              <w:rPr>
                <w:rFonts w:cs="Arial"/>
                <w:b/>
                <w:sz w:val="22"/>
                <w:szCs w:val="22"/>
              </w:rPr>
              <w:t xml:space="preserve">no </w:t>
            </w:r>
            <w:r w:rsidRPr="00A9620D">
              <w:rPr>
                <w:rFonts w:cs="Arial"/>
                <w:sz w:val="22"/>
                <w:szCs w:val="22"/>
              </w:rPr>
              <w:t>savings in the current financial year</w:t>
            </w:r>
          </w:p>
          <w:p w14:paraId="18BD2655" w14:textId="77777777" w:rsidR="00AD79C6" w:rsidRPr="00A9620D" w:rsidRDefault="00AD79C6" w:rsidP="00BA2A1D">
            <w:pPr>
              <w:rPr>
                <w:rFonts w:cs="Arial"/>
                <w:sz w:val="22"/>
                <w:szCs w:val="22"/>
              </w:rPr>
            </w:pPr>
            <w:r w:rsidRPr="00A9620D">
              <w:rPr>
                <w:rFonts w:cs="Arial"/>
                <w:sz w:val="22"/>
                <w:szCs w:val="22"/>
              </w:rPr>
              <w:t>Project cannot be delivered but underspends found elsewhere to mitigate savings.</w:t>
            </w:r>
          </w:p>
        </w:tc>
      </w:tr>
      <w:tr w:rsidR="00A9620D" w:rsidRPr="00A9620D" w14:paraId="06C3C0E0" w14:textId="77777777" w:rsidTr="00DA2684">
        <w:tc>
          <w:tcPr>
            <w:tcW w:w="4043" w:type="dxa"/>
          </w:tcPr>
          <w:p w14:paraId="26B9AD06" w14:textId="77777777" w:rsidR="00AD79C6" w:rsidRPr="00A9620D" w:rsidRDefault="00AD79C6" w:rsidP="00BA2A1D">
            <w:pPr>
              <w:rPr>
                <w:rFonts w:cs="Arial"/>
                <w:b/>
                <w:sz w:val="22"/>
                <w:szCs w:val="22"/>
              </w:rPr>
            </w:pPr>
            <w:r w:rsidRPr="00A9620D">
              <w:rPr>
                <w:rFonts w:cs="Arial"/>
                <w:b/>
                <w:sz w:val="22"/>
                <w:szCs w:val="22"/>
              </w:rPr>
              <w:t>Purple</w:t>
            </w:r>
          </w:p>
        </w:tc>
        <w:tc>
          <w:tcPr>
            <w:tcW w:w="4599" w:type="dxa"/>
          </w:tcPr>
          <w:p w14:paraId="3C2F89BC" w14:textId="77777777" w:rsidR="00AD79C6" w:rsidRPr="00A9620D" w:rsidRDefault="00AD79C6" w:rsidP="00BA2A1D">
            <w:pPr>
              <w:rPr>
                <w:rFonts w:cs="Arial"/>
                <w:sz w:val="22"/>
                <w:szCs w:val="22"/>
              </w:rPr>
            </w:pPr>
            <w:r w:rsidRPr="00A9620D">
              <w:rPr>
                <w:rFonts w:cs="Arial"/>
                <w:sz w:val="22"/>
                <w:szCs w:val="22"/>
              </w:rPr>
              <w:t>Future years’ savings</w:t>
            </w:r>
          </w:p>
        </w:tc>
      </w:tr>
    </w:tbl>
    <w:p w14:paraId="65ED0E06" w14:textId="77777777" w:rsidR="00966427" w:rsidRPr="00B37833" w:rsidRDefault="00966427" w:rsidP="00966427">
      <w:pPr>
        <w:pStyle w:val="ListParagraph"/>
        <w:rPr>
          <w:rFonts w:cs="Arial"/>
          <w:color w:val="FF0000"/>
          <w:szCs w:val="24"/>
          <w:lang w:val="en-US"/>
        </w:rPr>
      </w:pPr>
    </w:p>
    <w:p w14:paraId="33B4D43F" w14:textId="765BDE56" w:rsidR="001546BF" w:rsidRPr="00A9620D" w:rsidRDefault="00C018C0" w:rsidP="007A4D31">
      <w:pPr>
        <w:pStyle w:val="ListParagraph"/>
        <w:numPr>
          <w:ilvl w:val="0"/>
          <w:numId w:val="5"/>
        </w:numPr>
        <w:ind w:left="460" w:hanging="567"/>
        <w:jc w:val="both"/>
        <w:rPr>
          <w:rFonts w:cs="Arial"/>
          <w:b/>
          <w:szCs w:val="24"/>
          <w:u w:val="single"/>
          <w:lang w:val="en-US"/>
        </w:rPr>
      </w:pPr>
      <w:r w:rsidRPr="00A9620D">
        <w:rPr>
          <w:rFonts w:cs="Arial"/>
          <w:bCs/>
          <w:szCs w:val="24"/>
        </w:rPr>
        <w:t xml:space="preserve">Table </w:t>
      </w:r>
      <w:r w:rsidR="00C920C9">
        <w:rPr>
          <w:rFonts w:cs="Arial"/>
          <w:bCs/>
          <w:szCs w:val="24"/>
        </w:rPr>
        <w:t>9</w:t>
      </w:r>
      <w:r w:rsidRPr="00A9620D">
        <w:rPr>
          <w:rFonts w:cs="Arial"/>
          <w:bCs/>
          <w:szCs w:val="24"/>
        </w:rPr>
        <w:t xml:space="preserve"> below shows the summarised position for each directorate </w:t>
      </w:r>
      <w:r w:rsidR="00AF347B" w:rsidRPr="00A9620D">
        <w:rPr>
          <w:rFonts w:cs="Arial"/>
          <w:bCs/>
          <w:szCs w:val="24"/>
        </w:rPr>
        <w:t xml:space="preserve">for </w:t>
      </w:r>
      <w:r w:rsidR="00A9620D" w:rsidRPr="00A9620D">
        <w:rPr>
          <w:rFonts w:cs="Arial"/>
          <w:bCs/>
          <w:szCs w:val="24"/>
        </w:rPr>
        <w:t>2021-22</w:t>
      </w:r>
      <w:r w:rsidR="00966427" w:rsidRPr="00A9620D">
        <w:rPr>
          <w:rFonts w:cs="Arial"/>
          <w:bCs/>
          <w:szCs w:val="24"/>
        </w:rPr>
        <w:t xml:space="preserve"> </w:t>
      </w:r>
    </w:p>
    <w:p w14:paraId="78EC14EF" w14:textId="77777777" w:rsidR="00E41F8A" w:rsidRPr="00A9620D" w:rsidRDefault="00E41F8A" w:rsidP="00AD79C6">
      <w:pPr>
        <w:pStyle w:val="ListParagraph"/>
        <w:ind w:left="567" w:right="2126"/>
        <w:jc w:val="both"/>
        <w:rPr>
          <w:rFonts w:cs="Arial"/>
          <w:b/>
          <w:szCs w:val="24"/>
          <w:u w:val="single"/>
          <w:lang w:val="en-US"/>
        </w:rPr>
      </w:pPr>
    </w:p>
    <w:p w14:paraId="2E6FBF68" w14:textId="2A2E1AFA" w:rsidR="00AD79C6" w:rsidRPr="00C920C9" w:rsidRDefault="00AD79C6" w:rsidP="00C920C9">
      <w:pPr>
        <w:ind w:right="2126"/>
        <w:jc w:val="both"/>
        <w:rPr>
          <w:rFonts w:cs="Arial"/>
          <w:b/>
          <w:szCs w:val="24"/>
          <w:u w:val="single"/>
          <w:lang w:val="en-US"/>
        </w:rPr>
      </w:pPr>
      <w:r w:rsidRPr="00C920C9">
        <w:rPr>
          <w:rFonts w:cs="Arial"/>
          <w:b/>
          <w:szCs w:val="24"/>
          <w:u w:val="single"/>
          <w:lang w:val="en-US"/>
        </w:rPr>
        <w:t xml:space="preserve">Table </w:t>
      </w:r>
      <w:r w:rsidR="00C920C9" w:rsidRPr="00C920C9">
        <w:rPr>
          <w:rFonts w:cs="Arial"/>
          <w:b/>
          <w:szCs w:val="24"/>
          <w:u w:val="single"/>
          <w:lang w:val="en-US"/>
        </w:rPr>
        <w:t>9</w:t>
      </w:r>
      <w:r w:rsidRPr="00C920C9">
        <w:rPr>
          <w:rFonts w:cs="Arial"/>
          <w:b/>
          <w:szCs w:val="24"/>
          <w:u w:val="single"/>
          <w:lang w:val="en-US"/>
        </w:rPr>
        <w:t xml:space="preserve">: Savings Tracker </w:t>
      </w:r>
      <w:r w:rsidR="00A9620D" w:rsidRPr="00C920C9">
        <w:rPr>
          <w:rFonts w:cs="Arial"/>
          <w:b/>
          <w:szCs w:val="24"/>
          <w:u w:val="single"/>
          <w:lang w:val="en-US"/>
        </w:rPr>
        <w:t>2021-22</w:t>
      </w:r>
      <w:r w:rsidRPr="00C920C9">
        <w:rPr>
          <w:rFonts w:cs="Arial"/>
          <w:b/>
          <w:szCs w:val="24"/>
          <w:u w:val="single"/>
          <w:lang w:val="en-US"/>
        </w:rPr>
        <w:t xml:space="preserve"> – Directorate Summary</w:t>
      </w:r>
    </w:p>
    <w:p w14:paraId="5F7FE6DD" w14:textId="77777777" w:rsidR="00E41F8A" w:rsidRPr="00A9620D" w:rsidRDefault="00E41F8A" w:rsidP="00AD79C6">
      <w:pPr>
        <w:pStyle w:val="ListParagraph"/>
        <w:ind w:left="567" w:right="2126"/>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1153"/>
        <w:gridCol w:w="1437"/>
        <w:gridCol w:w="1175"/>
        <w:gridCol w:w="1435"/>
        <w:gridCol w:w="1363"/>
        <w:gridCol w:w="1064"/>
        <w:gridCol w:w="830"/>
      </w:tblGrid>
      <w:tr w:rsidR="00CC368A" w:rsidRPr="00CC368A" w14:paraId="25F530C6" w14:textId="77777777" w:rsidTr="00CC368A">
        <w:tc>
          <w:tcPr>
            <w:tcW w:w="1185" w:type="dxa"/>
            <w:vMerge w:val="restart"/>
          </w:tcPr>
          <w:p w14:paraId="5A2EA7EC" w14:textId="77777777" w:rsidR="00AD79C6" w:rsidRPr="00CC368A" w:rsidRDefault="00AD79C6" w:rsidP="00BA2A1D">
            <w:pPr>
              <w:rPr>
                <w:rFonts w:cs="Arial"/>
                <w:noProof/>
                <w:sz w:val="22"/>
                <w:szCs w:val="22"/>
                <w:lang w:eastAsia="en-GB"/>
              </w:rPr>
            </w:pPr>
          </w:p>
        </w:tc>
        <w:tc>
          <w:tcPr>
            <w:tcW w:w="1450" w:type="dxa"/>
          </w:tcPr>
          <w:p w14:paraId="4AECF8AD"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Resources</w:t>
            </w:r>
          </w:p>
        </w:tc>
        <w:tc>
          <w:tcPr>
            <w:tcW w:w="1182" w:type="dxa"/>
          </w:tcPr>
          <w:p w14:paraId="000CECED"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People Services</w:t>
            </w:r>
          </w:p>
        </w:tc>
        <w:tc>
          <w:tcPr>
            <w:tcW w:w="1522" w:type="dxa"/>
          </w:tcPr>
          <w:p w14:paraId="0AE9FF0A" w14:textId="00B48751" w:rsidR="00AD79C6" w:rsidRPr="00CC368A" w:rsidRDefault="00CC368A" w:rsidP="00BA2A1D">
            <w:pPr>
              <w:jc w:val="center"/>
              <w:rPr>
                <w:rFonts w:cs="Arial"/>
                <w:b/>
                <w:noProof/>
                <w:sz w:val="22"/>
                <w:szCs w:val="22"/>
                <w:lang w:eastAsia="en-GB"/>
              </w:rPr>
            </w:pPr>
            <w:r>
              <w:rPr>
                <w:rFonts w:cs="Arial"/>
                <w:b/>
                <w:noProof/>
                <w:sz w:val="22"/>
                <w:szCs w:val="22"/>
                <w:lang w:eastAsia="en-GB"/>
              </w:rPr>
              <w:t>Place</w:t>
            </w:r>
          </w:p>
        </w:tc>
        <w:tc>
          <w:tcPr>
            <w:tcW w:w="1376" w:type="dxa"/>
          </w:tcPr>
          <w:p w14:paraId="4DE9EC4A"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Corporate</w:t>
            </w:r>
          </w:p>
        </w:tc>
        <w:tc>
          <w:tcPr>
            <w:tcW w:w="1097" w:type="dxa"/>
          </w:tcPr>
          <w:p w14:paraId="221AA939"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Total</w:t>
            </w:r>
          </w:p>
        </w:tc>
        <w:tc>
          <w:tcPr>
            <w:tcW w:w="830" w:type="dxa"/>
          </w:tcPr>
          <w:p w14:paraId="73DAA4E7"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w:t>
            </w:r>
          </w:p>
        </w:tc>
      </w:tr>
      <w:tr w:rsidR="00CC368A" w:rsidRPr="00CC368A" w14:paraId="71D7F68E" w14:textId="77777777" w:rsidTr="00CC368A">
        <w:trPr>
          <w:trHeight w:val="284"/>
        </w:trPr>
        <w:tc>
          <w:tcPr>
            <w:tcW w:w="1185" w:type="dxa"/>
            <w:vMerge/>
          </w:tcPr>
          <w:p w14:paraId="4A5CE356" w14:textId="77777777" w:rsidR="00AD79C6" w:rsidRPr="00CC368A" w:rsidRDefault="00AD79C6" w:rsidP="00BA2A1D">
            <w:pPr>
              <w:rPr>
                <w:rFonts w:cs="Arial"/>
                <w:noProof/>
                <w:sz w:val="22"/>
                <w:szCs w:val="22"/>
                <w:lang w:eastAsia="en-GB"/>
              </w:rPr>
            </w:pPr>
          </w:p>
        </w:tc>
        <w:tc>
          <w:tcPr>
            <w:tcW w:w="1450" w:type="dxa"/>
          </w:tcPr>
          <w:p w14:paraId="688A380D" w14:textId="77777777" w:rsidR="00AD79C6" w:rsidRPr="00CC368A" w:rsidRDefault="00AD79C6" w:rsidP="00BA2A1D">
            <w:pPr>
              <w:jc w:val="center"/>
              <w:rPr>
                <w:rFonts w:cs="Arial"/>
                <w:b/>
                <w:noProof/>
                <w:sz w:val="22"/>
                <w:szCs w:val="22"/>
                <w:lang w:eastAsia="en-GB"/>
              </w:rPr>
            </w:pPr>
            <w:r w:rsidRPr="00CC368A">
              <w:rPr>
                <w:rFonts w:cs="Arial"/>
                <w:b/>
                <w:noProof/>
                <w:sz w:val="22"/>
                <w:szCs w:val="22"/>
                <w:lang w:eastAsia="en-GB"/>
              </w:rPr>
              <w:t>£’000</w:t>
            </w:r>
          </w:p>
        </w:tc>
        <w:tc>
          <w:tcPr>
            <w:tcW w:w="1182" w:type="dxa"/>
          </w:tcPr>
          <w:p w14:paraId="19953473" w14:textId="77777777" w:rsidR="00AD79C6" w:rsidRPr="00CC368A" w:rsidRDefault="00AD79C6" w:rsidP="00BA2A1D">
            <w:pPr>
              <w:jc w:val="center"/>
              <w:rPr>
                <w:rFonts w:cs="Arial"/>
                <w:b/>
                <w:sz w:val="22"/>
                <w:szCs w:val="22"/>
              </w:rPr>
            </w:pPr>
            <w:r w:rsidRPr="00CC368A">
              <w:rPr>
                <w:rFonts w:cs="Arial"/>
                <w:b/>
                <w:noProof/>
                <w:sz w:val="22"/>
                <w:szCs w:val="22"/>
                <w:lang w:eastAsia="en-GB"/>
              </w:rPr>
              <w:t>£’000</w:t>
            </w:r>
          </w:p>
        </w:tc>
        <w:tc>
          <w:tcPr>
            <w:tcW w:w="1522" w:type="dxa"/>
          </w:tcPr>
          <w:p w14:paraId="0C09DE92" w14:textId="77777777" w:rsidR="00AD79C6" w:rsidRPr="00CC368A" w:rsidRDefault="00AD79C6" w:rsidP="00BA2A1D">
            <w:pPr>
              <w:jc w:val="center"/>
              <w:rPr>
                <w:rFonts w:cs="Arial"/>
                <w:b/>
                <w:sz w:val="22"/>
                <w:szCs w:val="22"/>
              </w:rPr>
            </w:pPr>
            <w:r w:rsidRPr="00CC368A">
              <w:rPr>
                <w:rFonts w:cs="Arial"/>
                <w:b/>
                <w:noProof/>
                <w:sz w:val="22"/>
                <w:szCs w:val="22"/>
                <w:lang w:eastAsia="en-GB"/>
              </w:rPr>
              <w:t>£’000</w:t>
            </w:r>
          </w:p>
        </w:tc>
        <w:tc>
          <w:tcPr>
            <w:tcW w:w="1376" w:type="dxa"/>
          </w:tcPr>
          <w:p w14:paraId="71AC42C1" w14:textId="77777777" w:rsidR="00AD79C6" w:rsidRPr="00CC368A" w:rsidRDefault="00AD79C6" w:rsidP="00BA2A1D">
            <w:pPr>
              <w:jc w:val="center"/>
              <w:rPr>
                <w:rFonts w:cs="Arial"/>
                <w:b/>
                <w:sz w:val="22"/>
                <w:szCs w:val="22"/>
              </w:rPr>
            </w:pPr>
            <w:r w:rsidRPr="00CC368A">
              <w:rPr>
                <w:rFonts w:cs="Arial"/>
                <w:b/>
                <w:noProof/>
                <w:sz w:val="22"/>
                <w:szCs w:val="22"/>
                <w:lang w:eastAsia="en-GB"/>
              </w:rPr>
              <w:t>£’000</w:t>
            </w:r>
          </w:p>
        </w:tc>
        <w:tc>
          <w:tcPr>
            <w:tcW w:w="1097" w:type="dxa"/>
          </w:tcPr>
          <w:p w14:paraId="7889DD65" w14:textId="77777777" w:rsidR="00AD79C6" w:rsidRPr="00CC368A" w:rsidRDefault="00AD79C6" w:rsidP="00BA2A1D">
            <w:pPr>
              <w:jc w:val="center"/>
              <w:rPr>
                <w:rFonts w:cs="Arial"/>
                <w:b/>
                <w:sz w:val="22"/>
                <w:szCs w:val="22"/>
              </w:rPr>
            </w:pPr>
            <w:r w:rsidRPr="00CC368A">
              <w:rPr>
                <w:rFonts w:cs="Arial"/>
                <w:b/>
                <w:noProof/>
                <w:sz w:val="22"/>
                <w:szCs w:val="22"/>
                <w:lang w:eastAsia="en-GB"/>
              </w:rPr>
              <w:t>£’000</w:t>
            </w:r>
          </w:p>
        </w:tc>
        <w:tc>
          <w:tcPr>
            <w:tcW w:w="830" w:type="dxa"/>
          </w:tcPr>
          <w:p w14:paraId="5BFF727C" w14:textId="77777777" w:rsidR="00AD79C6" w:rsidRPr="00CC368A" w:rsidRDefault="00AD79C6" w:rsidP="00BA2A1D">
            <w:pPr>
              <w:jc w:val="center"/>
              <w:rPr>
                <w:rFonts w:cs="Arial"/>
                <w:b/>
                <w:noProof/>
                <w:sz w:val="22"/>
                <w:szCs w:val="22"/>
                <w:lang w:eastAsia="en-GB"/>
              </w:rPr>
            </w:pPr>
          </w:p>
        </w:tc>
      </w:tr>
      <w:tr w:rsidR="00CC368A" w:rsidRPr="00CC368A" w14:paraId="2F91AB70" w14:textId="77777777" w:rsidTr="00CC368A">
        <w:trPr>
          <w:trHeight w:hRule="exact" w:val="284"/>
        </w:trPr>
        <w:tc>
          <w:tcPr>
            <w:tcW w:w="1185" w:type="dxa"/>
          </w:tcPr>
          <w:p w14:paraId="051A9AED" w14:textId="77777777" w:rsidR="00CC368A" w:rsidRPr="00CC368A" w:rsidRDefault="00CC368A" w:rsidP="00CC368A">
            <w:pPr>
              <w:rPr>
                <w:rFonts w:cs="Arial"/>
                <w:b/>
                <w:noProof/>
                <w:sz w:val="22"/>
                <w:szCs w:val="22"/>
                <w:lang w:eastAsia="en-GB"/>
              </w:rPr>
            </w:pPr>
            <w:r w:rsidRPr="00CC368A">
              <w:rPr>
                <w:rFonts w:cs="Arial"/>
                <w:b/>
                <w:noProof/>
                <w:sz w:val="22"/>
                <w:szCs w:val="22"/>
                <w:lang w:eastAsia="en-GB"/>
              </w:rPr>
              <w:t>Red</w:t>
            </w:r>
          </w:p>
        </w:tc>
        <w:tc>
          <w:tcPr>
            <w:tcW w:w="1450" w:type="dxa"/>
          </w:tcPr>
          <w:p w14:paraId="68B63AF4" w14:textId="1EF3F6D2" w:rsidR="00CC368A" w:rsidRPr="00CC368A" w:rsidRDefault="00CC368A" w:rsidP="00CC368A">
            <w:pPr>
              <w:jc w:val="right"/>
              <w:rPr>
                <w:rFonts w:cs="Arial"/>
                <w:noProof/>
                <w:sz w:val="22"/>
                <w:szCs w:val="22"/>
                <w:lang w:eastAsia="en-GB"/>
              </w:rPr>
            </w:pPr>
            <w:r w:rsidRPr="00CC368A">
              <w:t>-175</w:t>
            </w:r>
          </w:p>
        </w:tc>
        <w:tc>
          <w:tcPr>
            <w:tcW w:w="1182" w:type="dxa"/>
          </w:tcPr>
          <w:p w14:paraId="3200A012" w14:textId="10508B57" w:rsidR="00CC368A" w:rsidRPr="00CC368A" w:rsidRDefault="00CC368A" w:rsidP="00CC368A">
            <w:pPr>
              <w:jc w:val="right"/>
              <w:rPr>
                <w:rFonts w:cs="Arial"/>
                <w:noProof/>
                <w:sz w:val="22"/>
                <w:szCs w:val="22"/>
                <w:lang w:eastAsia="en-GB"/>
              </w:rPr>
            </w:pPr>
          </w:p>
        </w:tc>
        <w:tc>
          <w:tcPr>
            <w:tcW w:w="1522" w:type="dxa"/>
          </w:tcPr>
          <w:p w14:paraId="5D09AEED" w14:textId="43C91B78" w:rsidR="00CC368A" w:rsidRPr="00CC368A" w:rsidRDefault="00CC368A" w:rsidP="00CC368A">
            <w:pPr>
              <w:jc w:val="right"/>
              <w:rPr>
                <w:rFonts w:cs="Arial"/>
                <w:noProof/>
                <w:sz w:val="22"/>
                <w:szCs w:val="22"/>
                <w:lang w:eastAsia="en-GB"/>
              </w:rPr>
            </w:pPr>
            <w:r w:rsidRPr="00CC368A">
              <w:t>-34</w:t>
            </w:r>
          </w:p>
        </w:tc>
        <w:tc>
          <w:tcPr>
            <w:tcW w:w="1376" w:type="dxa"/>
          </w:tcPr>
          <w:p w14:paraId="57889283" w14:textId="5F3A0E34" w:rsidR="00CC368A" w:rsidRPr="00CC368A" w:rsidRDefault="00CC368A" w:rsidP="00CC368A">
            <w:pPr>
              <w:jc w:val="right"/>
              <w:rPr>
                <w:rFonts w:cs="Arial"/>
                <w:noProof/>
                <w:sz w:val="22"/>
                <w:szCs w:val="22"/>
                <w:lang w:eastAsia="en-GB"/>
              </w:rPr>
            </w:pPr>
            <w:r w:rsidRPr="00CC368A">
              <w:t>-1,000</w:t>
            </w:r>
          </w:p>
        </w:tc>
        <w:tc>
          <w:tcPr>
            <w:tcW w:w="1097" w:type="dxa"/>
          </w:tcPr>
          <w:p w14:paraId="2D699251" w14:textId="15C0200A" w:rsidR="00CC368A" w:rsidRPr="00CC368A" w:rsidRDefault="00CC368A" w:rsidP="00CC368A">
            <w:pPr>
              <w:jc w:val="right"/>
              <w:rPr>
                <w:rFonts w:cs="Arial"/>
                <w:noProof/>
                <w:sz w:val="22"/>
                <w:szCs w:val="22"/>
                <w:lang w:eastAsia="en-GB"/>
              </w:rPr>
            </w:pPr>
            <w:r w:rsidRPr="00CC368A">
              <w:t>-1,209</w:t>
            </w:r>
          </w:p>
        </w:tc>
        <w:tc>
          <w:tcPr>
            <w:tcW w:w="830" w:type="dxa"/>
          </w:tcPr>
          <w:p w14:paraId="461F0864" w14:textId="567E2842" w:rsidR="00CC368A" w:rsidRPr="00CC368A" w:rsidRDefault="00CC368A" w:rsidP="00CC368A">
            <w:pPr>
              <w:jc w:val="right"/>
              <w:rPr>
                <w:rFonts w:cs="Arial"/>
                <w:noProof/>
                <w:sz w:val="22"/>
                <w:szCs w:val="22"/>
                <w:lang w:eastAsia="en-GB"/>
              </w:rPr>
            </w:pPr>
            <w:r w:rsidRPr="00CC368A">
              <w:t>35%</w:t>
            </w:r>
          </w:p>
        </w:tc>
      </w:tr>
      <w:tr w:rsidR="00CC368A" w:rsidRPr="00CC368A" w14:paraId="4B44824B" w14:textId="77777777" w:rsidTr="00CC368A">
        <w:trPr>
          <w:trHeight w:hRule="exact" w:val="284"/>
        </w:trPr>
        <w:tc>
          <w:tcPr>
            <w:tcW w:w="1185" w:type="dxa"/>
          </w:tcPr>
          <w:p w14:paraId="026AA9A1" w14:textId="77777777" w:rsidR="00CC368A" w:rsidRPr="00CC368A" w:rsidRDefault="00CC368A" w:rsidP="00CC368A">
            <w:pPr>
              <w:rPr>
                <w:rFonts w:cs="Arial"/>
                <w:b/>
                <w:noProof/>
                <w:sz w:val="22"/>
                <w:szCs w:val="22"/>
                <w:lang w:eastAsia="en-GB"/>
              </w:rPr>
            </w:pPr>
            <w:r w:rsidRPr="00CC368A">
              <w:rPr>
                <w:rFonts w:cs="Arial"/>
                <w:b/>
                <w:noProof/>
                <w:sz w:val="22"/>
                <w:szCs w:val="22"/>
                <w:lang w:eastAsia="en-GB"/>
              </w:rPr>
              <w:t>Amber</w:t>
            </w:r>
          </w:p>
        </w:tc>
        <w:tc>
          <w:tcPr>
            <w:tcW w:w="1450" w:type="dxa"/>
          </w:tcPr>
          <w:p w14:paraId="50FA32F8" w14:textId="40DB3FAC" w:rsidR="00CC368A" w:rsidRPr="00CC368A" w:rsidRDefault="00CC368A" w:rsidP="00CC368A">
            <w:pPr>
              <w:jc w:val="right"/>
              <w:rPr>
                <w:rFonts w:cs="Arial"/>
                <w:noProof/>
                <w:sz w:val="22"/>
                <w:szCs w:val="22"/>
                <w:lang w:eastAsia="en-GB"/>
              </w:rPr>
            </w:pPr>
          </w:p>
        </w:tc>
        <w:tc>
          <w:tcPr>
            <w:tcW w:w="1182" w:type="dxa"/>
          </w:tcPr>
          <w:p w14:paraId="298237C1" w14:textId="36267F34" w:rsidR="00CC368A" w:rsidRPr="00CC368A" w:rsidRDefault="00CC368A" w:rsidP="00CC368A">
            <w:pPr>
              <w:jc w:val="right"/>
              <w:rPr>
                <w:rFonts w:cs="Arial"/>
                <w:noProof/>
                <w:sz w:val="22"/>
                <w:szCs w:val="22"/>
                <w:lang w:eastAsia="en-GB"/>
              </w:rPr>
            </w:pPr>
          </w:p>
        </w:tc>
        <w:tc>
          <w:tcPr>
            <w:tcW w:w="1522" w:type="dxa"/>
          </w:tcPr>
          <w:p w14:paraId="03A1A190" w14:textId="31D2300E" w:rsidR="00CC368A" w:rsidRPr="00CC368A" w:rsidRDefault="00CC368A" w:rsidP="00CC368A">
            <w:pPr>
              <w:jc w:val="right"/>
              <w:rPr>
                <w:rFonts w:cs="Arial"/>
                <w:noProof/>
                <w:sz w:val="22"/>
                <w:szCs w:val="22"/>
                <w:lang w:eastAsia="en-GB"/>
              </w:rPr>
            </w:pPr>
            <w:r w:rsidRPr="00CC368A">
              <w:t>-36</w:t>
            </w:r>
          </w:p>
        </w:tc>
        <w:tc>
          <w:tcPr>
            <w:tcW w:w="1376" w:type="dxa"/>
          </w:tcPr>
          <w:p w14:paraId="6ABFB87F" w14:textId="43F364E8" w:rsidR="00CC368A" w:rsidRPr="00CC368A" w:rsidRDefault="00CC368A" w:rsidP="00CC368A">
            <w:pPr>
              <w:jc w:val="right"/>
              <w:rPr>
                <w:rFonts w:cs="Arial"/>
                <w:noProof/>
                <w:sz w:val="22"/>
                <w:szCs w:val="22"/>
                <w:lang w:eastAsia="en-GB"/>
              </w:rPr>
            </w:pPr>
            <w:r w:rsidRPr="00CC368A">
              <w:t>-144</w:t>
            </w:r>
          </w:p>
        </w:tc>
        <w:tc>
          <w:tcPr>
            <w:tcW w:w="1097" w:type="dxa"/>
          </w:tcPr>
          <w:p w14:paraId="5815E043" w14:textId="338BA343" w:rsidR="00CC368A" w:rsidRPr="00CC368A" w:rsidRDefault="00CC368A" w:rsidP="00CC368A">
            <w:pPr>
              <w:jc w:val="right"/>
              <w:rPr>
                <w:rFonts w:cs="Arial"/>
                <w:noProof/>
                <w:sz w:val="22"/>
                <w:szCs w:val="22"/>
                <w:lang w:eastAsia="en-GB"/>
              </w:rPr>
            </w:pPr>
            <w:r w:rsidRPr="00CC368A">
              <w:t>-180</w:t>
            </w:r>
          </w:p>
        </w:tc>
        <w:tc>
          <w:tcPr>
            <w:tcW w:w="830" w:type="dxa"/>
          </w:tcPr>
          <w:p w14:paraId="5A495B68" w14:textId="04C38A8F" w:rsidR="00CC368A" w:rsidRPr="00CC368A" w:rsidRDefault="00CC368A" w:rsidP="00CC368A">
            <w:pPr>
              <w:jc w:val="right"/>
              <w:rPr>
                <w:rFonts w:cs="Arial"/>
                <w:noProof/>
                <w:sz w:val="22"/>
                <w:szCs w:val="22"/>
                <w:lang w:eastAsia="en-GB"/>
              </w:rPr>
            </w:pPr>
            <w:r w:rsidRPr="00CC368A">
              <w:t>5%</w:t>
            </w:r>
          </w:p>
        </w:tc>
      </w:tr>
      <w:tr w:rsidR="00CC368A" w:rsidRPr="00CC368A" w14:paraId="6D49F467" w14:textId="77777777" w:rsidTr="00CC368A">
        <w:trPr>
          <w:trHeight w:hRule="exact" w:val="284"/>
        </w:trPr>
        <w:tc>
          <w:tcPr>
            <w:tcW w:w="1185" w:type="dxa"/>
          </w:tcPr>
          <w:p w14:paraId="1E474519" w14:textId="77777777" w:rsidR="00CC368A" w:rsidRPr="00CC368A" w:rsidRDefault="00CC368A" w:rsidP="00CC368A">
            <w:pPr>
              <w:rPr>
                <w:rFonts w:cs="Arial"/>
                <w:b/>
                <w:noProof/>
                <w:sz w:val="22"/>
                <w:szCs w:val="22"/>
                <w:lang w:eastAsia="en-GB"/>
              </w:rPr>
            </w:pPr>
            <w:r w:rsidRPr="00CC368A">
              <w:rPr>
                <w:rFonts w:cs="Arial"/>
                <w:b/>
                <w:noProof/>
                <w:sz w:val="22"/>
                <w:szCs w:val="22"/>
                <w:lang w:eastAsia="en-GB"/>
              </w:rPr>
              <w:t>Green</w:t>
            </w:r>
          </w:p>
        </w:tc>
        <w:tc>
          <w:tcPr>
            <w:tcW w:w="1450" w:type="dxa"/>
          </w:tcPr>
          <w:p w14:paraId="2F329F5C" w14:textId="19762B64" w:rsidR="00CC368A" w:rsidRPr="00CC368A" w:rsidRDefault="00CC368A" w:rsidP="00CC368A">
            <w:pPr>
              <w:jc w:val="right"/>
              <w:rPr>
                <w:rFonts w:cs="Arial"/>
                <w:noProof/>
                <w:sz w:val="22"/>
                <w:szCs w:val="22"/>
                <w:lang w:eastAsia="en-GB"/>
              </w:rPr>
            </w:pPr>
            <w:r w:rsidRPr="00CC368A">
              <w:t>-1,759</w:t>
            </w:r>
          </w:p>
        </w:tc>
        <w:tc>
          <w:tcPr>
            <w:tcW w:w="1182" w:type="dxa"/>
          </w:tcPr>
          <w:p w14:paraId="441846A4" w14:textId="656B5A7E" w:rsidR="00CC368A" w:rsidRPr="00CC368A" w:rsidRDefault="00CC368A" w:rsidP="00CC368A">
            <w:pPr>
              <w:jc w:val="right"/>
              <w:rPr>
                <w:rFonts w:cs="Arial"/>
                <w:noProof/>
                <w:sz w:val="22"/>
                <w:szCs w:val="22"/>
                <w:lang w:eastAsia="en-GB"/>
              </w:rPr>
            </w:pPr>
          </w:p>
        </w:tc>
        <w:tc>
          <w:tcPr>
            <w:tcW w:w="1522" w:type="dxa"/>
          </w:tcPr>
          <w:p w14:paraId="725AE096" w14:textId="34DE098F" w:rsidR="00CC368A" w:rsidRPr="00CC368A" w:rsidRDefault="00CC368A" w:rsidP="00CC368A">
            <w:pPr>
              <w:jc w:val="right"/>
              <w:rPr>
                <w:rFonts w:cs="Arial"/>
                <w:noProof/>
                <w:sz w:val="22"/>
                <w:szCs w:val="22"/>
                <w:lang w:eastAsia="en-GB"/>
              </w:rPr>
            </w:pPr>
            <w:r w:rsidRPr="00CC368A">
              <w:t>-295</w:t>
            </w:r>
          </w:p>
        </w:tc>
        <w:tc>
          <w:tcPr>
            <w:tcW w:w="1376" w:type="dxa"/>
          </w:tcPr>
          <w:p w14:paraId="2366C09F" w14:textId="45219541" w:rsidR="00CC368A" w:rsidRPr="00CC368A" w:rsidRDefault="00CC368A" w:rsidP="00CC368A">
            <w:pPr>
              <w:jc w:val="right"/>
              <w:rPr>
                <w:rFonts w:cs="Arial"/>
                <w:noProof/>
                <w:sz w:val="22"/>
                <w:szCs w:val="22"/>
                <w:lang w:eastAsia="en-GB"/>
              </w:rPr>
            </w:pPr>
          </w:p>
        </w:tc>
        <w:tc>
          <w:tcPr>
            <w:tcW w:w="1097" w:type="dxa"/>
          </w:tcPr>
          <w:p w14:paraId="37F85D6B" w14:textId="0BE7F720" w:rsidR="00CC368A" w:rsidRPr="00CC368A" w:rsidRDefault="00CC368A" w:rsidP="00CC368A">
            <w:pPr>
              <w:jc w:val="right"/>
              <w:rPr>
                <w:rFonts w:cs="Arial"/>
                <w:noProof/>
                <w:sz w:val="22"/>
                <w:szCs w:val="22"/>
                <w:lang w:eastAsia="en-GB"/>
              </w:rPr>
            </w:pPr>
            <w:r w:rsidRPr="00CC368A">
              <w:t>-2,054</w:t>
            </w:r>
          </w:p>
        </w:tc>
        <w:tc>
          <w:tcPr>
            <w:tcW w:w="830" w:type="dxa"/>
          </w:tcPr>
          <w:p w14:paraId="4E249A8D" w14:textId="6B9C964E" w:rsidR="00CC368A" w:rsidRPr="00CC368A" w:rsidRDefault="00CC368A" w:rsidP="00CC368A">
            <w:pPr>
              <w:jc w:val="right"/>
              <w:rPr>
                <w:rFonts w:cs="Arial"/>
                <w:noProof/>
                <w:sz w:val="22"/>
                <w:szCs w:val="22"/>
                <w:lang w:eastAsia="en-GB"/>
              </w:rPr>
            </w:pPr>
            <w:r w:rsidRPr="00CC368A">
              <w:t>60%</w:t>
            </w:r>
          </w:p>
        </w:tc>
      </w:tr>
      <w:tr w:rsidR="00CC368A" w:rsidRPr="00CC368A" w14:paraId="37AE53D3" w14:textId="77777777" w:rsidTr="00CC368A">
        <w:trPr>
          <w:trHeight w:hRule="exact" w:val="284"/>
        </w:trPr>
        <w:tc>
          <w:tcPr>
            <w:tcW w:w="1185" w:type="dxa"/>
          </w:tcPr>
          <w:p w14:paraId="493203CF" w14:textId="77777777" w:rsidR="00CC368A" w:rsidRPr="00CC368A" w:rsidRDefault="00CC368A" w:rsidP="00CC368A">
            <w:pPr>
              <w:rPr>
                <w:rFonts w:cs="Arial"/>
                <w:b/>
                <w:noProof/>
                <w:sz w:val="22"/>
                <w:szCs w:val="22"/>
                <w:lang w:eastAsia="en-GB"/>
              </w:rPr>
            </w:pPr>
            <w:r w:rsidRPr="00CC368A">
              <w:rPr>
                <w:rFonts w:cs="Arial"/>
                <w:b/>
                <w:noProof/>
                <w:sz w:val="22"/>
                <w:szCs w:val="22"/>
                <w:lang w:eastAsia="en-GB"/>
              </w:rPr>
              <w:t>Totals</w:t>
            </w:r>
          </w:p>
        </w:tc>
        <w:tc>
          <w:tcPr>
            <w:tcW w:w="1450" w:type="dxa"/>
          </w:tcPr>
          <w:p w14:paraId="1EC907B9" w14:textId="1F98B981" w:rsidR="00CC368A" w:rsidRPr="00CC368A" w:rsidRDefault="00CC368A" w:rsidP="00CC368A">
            <w:pPr>
              <w:jc w:val="right"/>
              <w:rPr>
                <w:rFonts w:cs="Arial"/>
                <w:b/>
                <w:bCs/>
                <w:noProof/>
                <w:sz w:val="22"/>
                <w:szCs w:val="22"/>
                <w:lang w:eastAsia="en-GB"/>
              </w:rPr>
            </w:pPr>
            <w:r w:rsidRPr="00CC368A">
              <w:rPr>
                <w:b/>
                <w:bCs/>
              </w:rPr>
              <w:t>-1,934</w:t>
            </w:r>
          </w:p>
        </w:tc>
        <w:tc>
          <w:tcPr>
            <w:tcW w:w="1182" w:type="dxa"/>
          </w:tcPr>
          <w:p w14:paraId="213A10C9" w14:textId="4E737861" w:rsidR="00CC368A" w:rsidRPr="00CC368A" w:rsidRDefault="00CC368A" w:rsidP="00CC368A">
            <w:pPr>
              <w:jc w:val="right"/>
              <w:rPr>
                <w:rFonts w:cs="Arial"/>
                <w:b/>
                <w:bCs/>
                <w:noProof/>
                <w:sz w:val="22"/>
                <w:szCs w:val="22"/>
                <w:lang w:eastAsia="en-GB"/>
              </w:rPr>
            </w:pPr>
            <w:r w:rsidRPr="00CC368A">
              <w:rPr>
                <w:b/>
                <w:bCs/>
              </w:rPr>
              <w:t>0</w:t>
            </w:r>
          </w:p>
        </w:tc>
        <w:tc>
          <w:tcPr>
            <w:tcW w:w="1522" w:type="dxa"/>
          </w:tcPr>
          <w:p w14:paraId="4BA2BAEC" w14:textId="659138F4" w:rsidR="00CC368A" w:rsidRPr="00CC368A" w:rsidRDefault="00CC368A" w:rsidP="00CC368A">
            <w:pPr>
              <w:jc w:val="right"/>
              <w:rPr>
                <w:rFonts w:cs="Arial"/>
                <w:b/>
                <w:bCs/>
                <w:noProof/>
                <w:sz w:val="22"/>
                <w:szCs w:val="22"/>
                <w:lang w:eastAsia="en-GB"/>
              </w:rPr>
            </w:pPr>
            <w:r w:rsidRPr="00CC368A">
              <w:rPr>
                <w:b/>
                <w:bCs/>
              </w:rPr>
              <w:t>-365</w:t>
            </w:r>
          </w:p>
        </w:tc>
        <w:tc>
          <w:tcPr>
            <w:tcW w:w="1376" w:type="dxa"/>
          </w:tcPr>
          <w:p w14:paraId="3CE9C9A6" w14:textId="103FADF2" w:rsidR="00CC368A" w:rsidRPr="00CC368A" w:rsidRDefault="00CC368A" w:rsidP="00CC368A">
            <w:pPr>
              <w:jc w:val="right"/>
              <w:rPr>
                <w:rFonts w:cs="Arial"/>
                <w:b/>
                <w:bCs/>
                <w:noProof/>
                <w:sz w:val="22"/>
                <w:szCs w:val="22"/>
                <w:lang w:eastAsia="en-GB"/>
              </w:rPr>
            </w:pPr>
            <w:r w:rsidRPr="00CC368A">
              <w:rPr>
                <w:b/>
                <w:bCs/>
              </w:rPr>
              <w:t>-1,144</w:t>
            </w:r>
          </w:p>
        </w:tc>
        <w:tc>
          <w:tcPr>
            <w:tcW w:w="1097" w:type="dxa"/>
          </w:tcPr>
          <w:p w14:paraId="6FE9BDF1" w14:textId="166A3379" w:rsidR="00CC368A" w:rsidRPr="00CC368A" w:rsidRDefault="00CC368A" w:rsidP="00CC368A">
            <w:pPr>
              <w:jc w:val="right"/>
              <w:rPr>
                <w:rFonts w:cs="Arial"/>
                <w:b/>
                <w:bCs/>
                <w:noProof/>
                <w:sz w:val="22"/>
                <w:szCs w:val="22"/>
                <w:lang w:eastAsia="en-GB"/>
              </w:rPr>
            </w:pPr>
            <w:r w:rsidRPr="00CC368A">
              <w:rPr>
                <w:b/>
                <w:bCs/>
              </w:rPr>
              <w:t>-3,443</w:t>
            </w:r>
          </w:p>
        </w:tc>
        <w:tc>
          <w:tcPr>
            <w:tcW w:w="830" w:type="dxa"/>
          </w:tcPr>
          <w:p w14:paraId="7528C22E" w14:textId="15EF6BE6" w:rsidR="00CC368A" w:rsidRPr="00CC368A" w:rsidRDefault="00CC368A" w:rsidP="00CC368A">
            <w:pPr>
              <w:jc w:val="right"/>
              <w:rPr>
                <w:rFonts w:cs="Arial"/>
                <w:b/>
                <w:bCs/>
                <w:noProof/>
                <w:sz w:val="22"/>
                <w:szCs w:val="22"/>
                <w:lang w:eastAsia="en-GB"/>
              </w:rPr>
            </w:pPr>
            <w:r w:rsidRPr="00CC368A">
              <w:rPr>
                <w:b/>
                <w:bCs/>
              </w:rPr>
              <w:t>100%</w:t>
            </w:r>
          </w:p>
        </w:tc>
      </w:tr>
    </w:tbl>
    <w:p w14:paraId="6E929193" w14:textId="77777777" w:rsidR="00AD79C6" w:rsidRPr="00A9620D" w:rsidRDefault="00AD79C6" w:rsidP="001546BF">
      <w:pPr>
        <w:jc w:val="both"/>
        <w:rPr>
          <w:rFonts w:cs="Arial"/>
          <w:b/>
          <w:szCs w:val="24"/>
          <w:u w:val="single"/>
          <w:lang w:val="en-US"/>
        </w:rPr>
      </w:pPr>
    </w:p>
    <w:p w14:paraId="1873C95C" w14:textId="02A772CE" w:rsidR="00966427" w:rsidRPr="003756B1" w:rsidRDefault="00966427" w:rsidP="007A4D31">
      <w:pPr>
        <w:pStyle w:val="ListParagraph"/>
        <w:numPr>
          <w:ilvl w:val="0"/>
          <w:numId w:val="5"/>
        </w:numPr>
        <w:ind w:left="460" w:hanging="567"/>
        <w:jc w:val="both"/>
        <w:rPr>
          <w:rFonts w:cs="Arial"/>
          <w:szCs w:val="24"/>
          <w:lang w:val="en-US"/>
        </w:rPr>
      </w:pPr>
      <w:r w:rsidRPr="003756B1">
        <w:rPr>
          <w:rFonts w:cs="Arial"/>
          <w:bCs/>
          <w:szCs w:val="24"/>
        </w:rPr>
        <w:t>At th</w:t>
      </w:r>
      <w:r w:rsidR="00AF347B" w:rsidRPr="003756B1">
        <w:rPr>
          <w:rFonts w:cs="Arial"/>
          <w:bCs/>
          <w:szCs w:val="24"/>
        </w:rPr>
        <w:t>e final outturn</w:t>
      </w:r>
      <w:r w:rsidR="003756B1" w:rsidRPr="003756B1">
        <w:rPr>
          <w:rFonts w:cs="Arial"/>
          <w:bCs/>
          <w:szCs w:val="24"/>
        </w:rPr>
        <w:t xml:space="preserve"> 35% of these savings are rated red as </w:t>
      </w:r>
      <w:r w:rsidR="00E136DA" w:rsidRPr="003756B1">
        <w:rPr>
          <w:rFonts w:cs="Arial"/>
          <w:bCs/>
          <w:szCs w:val="24"/>
        </w:rPr>
        <w:t>they</w:t>
      </w:r>
      <w:r w:rsidR="003756B1" w:rsidRPr="003756B1">
        <w:rPr>
          <w:rFonts w:cs="Arial"/>
          <w:bCs/>
          <w:szCs w:val="24"/>
        </w:rPr>
        <w:t xml:space="preserve"> have not been delivered.</w:t>
      </w:r>
    </w:p>
    <w:p w14:paraId="07088BCB" w14:textId="77777777" w:rsidR="00966427" w:rsidRPr="00B37833" w:rsidRDefault="00966427" w:rsidP="00966427">
      <w:pPr>
        <w:pStyle w:val="ListParagraph"/>
        <w:ind w:left="460"/>
        <w:jc w:val="both"/>
        <w:rPr>
          <w:rFonts w:cs="Arial"/>
          <w:color w:val="FF0000"/>
          <w:szCs w:val="24"/>
          <w:lang w:val="en-US"/>
        </w:rPr>
      </w:pPr>
    </w:p>
    <w:p w14:paraId="022312D1" w14:textId="77777777" w:rsidR="003756B1" w:rsidRPr="008B0567" w:rsidRDefault="003756B1" w:rsidP="007A4D31">
      <w:pPr>
        <w:pStyle w:val="ListParagraph"/>
        <w:numPr>
          <w:ilvl w:val="0"/>
          <w:numId w:val="5"/>
        </w:numPr>
        <w:ind w:left="460" w:hanging="567"/>
        <w:jc w:val="both"/>
        <w:rPr>
          <w:rFonts w:cs="Arial"/>
          <w:szCs w:val="24"/>
          <w:lang w:val="en-US"/>
        </w:rPr>
      </w:pPr>
      <w:r w:rsidRPr="008B0567">
        <w:rPr>
          <w:rFonts w:cs="Arial"/>
          <w:bCs/>
          <w:szCs w:val="24"/>
        </w:rPr>
        <w:t>The red savings of £1.209m relate to the following savings:</w:t>
      </w:r>
    </w:p>
    <w:p w14:paraId="16959F4A" w14:textId="77777777" w:rsidR="003756B1" w:rsidRPr="008B0567" w:rsidRDefault="003756B1" w:rsidP="003756B1">
      <w:pPr>
        <w:pStyle w:val="ListParagraph"/>
        <w:rPr>
          <w:rFonts w:cs="Arial"/>
          <w:szCs w:val="24"/>
          <w:lang w:val="en-US"/>
        </w:rPr>
      </w:pPr>
    </w:p>
    <w:p w14:paraId="050C98AE" w14:textId="77777777" w:rsidR="003756B1" w:rsidRPr="008B0567" w:rsidRDefault="003756B1" w:rsidP="007A4D31">
      <w:pPr>
        <w:pStyle w:val="ListParagraph"/>
        <w:numPr>
          <w:ilvl w:val="1"/>
          <w:numId w:val="5"/>
        </w:numPr>
        <w:ind w:left="1134" w:hanging="567"/>
        <w:jc w:val="both"/>
        <w:rPr>
          <w:rFonts w:cs="Arial"/>
          <w:szCs w:val="24"/>
          <w:lang w:val="en-US"/>
        </w:rPr>
      </w:pPr>
      <w:r w:rsidRPr="008B0567">
        <w:rPr>
          <w:rFonts w:cs="Arial"/>
          <w:szCs w:val="24"/>
          <w:lang w:val="en-US"/>
        </w:rPr>
        <w:t>Resources £175k – Customer Services: Reduction in Customer Channels. Cabinet agreed to close the telephone lines for Council Tax and Benefits to reduce the Access Harrow budget by £350k through staff reduction.  The closure was due to take place from 1 October 2020 with the budget reduction being equally split between 2020/21 and 2021/22.  However, Covid-19 prevented the start of the programme of work required to channel shift Revenues &amp; Benefits to digital channels. It is anticipated that the work can be carried out over the next nine months.  </w:t>
      </w:r>
    </w:p>
    <w:p w14:paraId="4F49F791" w14:textId="77777777" w:rsidR="003756B1" w:rsidRPr="008B0567" w:rsidRDefault="003756B1" w:rsidP="003756B1">
      <w:pPr>
        <w:pStyle w:val="ListParagraph"/>
        <w:ind w:left="1134"/>
        <w:jc w:val="both"/>
        <w:rPr>
          <w:rFonts w:cs="Arial"/>
          <w:szCs w:val="24"/>
          <w:lang w:val="en-US"/>
        </w:rPr>
      </w:pPr>
    </w:p>
    <w:p w14:paraId="63AB63E5" w14:textId="4995ABB3" w:rsidR="003756B1" w:rsidRPr="008B0567" w:rsidRDefault="002543B8" w:rsidP="007A4D31">
      <w:pPr>
        <w:pStyle w:val="ListParagraph"/>
        <w:numPr>
          <w:ilvl w:val="1"/>
          <w:numId w:val="5"/>
        </w:numPr>
        <w:ind w:left="1134" w:hanging="567"/>
        <w:jc w:val="both"/>
        <w:rPr>
          <w:rFonts w:cs="Arial"/>
          <w:szCs w:val="24"/>
          <w:lang w:val="en-US"/>
        </w:rPr>
      </w:pPr>
      <w:r>
        <w:rPr>
          <w:rFonts w:cs="Arial"/>
          <w:bCs/>
          <w:szCs w:val="24"/>
        </w:rPr>
        <w:t>Place</w:t>
      </w:r>
      <w:r w:rsidR="003756B1" w:rsidRPr="008B0567">
        <w:rPr>
          <w:rFonts w:cs="Arial"/>
          <w:bCs/>
          <w:szCs w:val="24"/>
        </w:rPr>
        <w:t xml:space="preserve"> £20k – Building Control. Income is adversely impacted by Covid-</w:t>
      </w:r>
      <w:r w:rsidR="00E136DA" w:rsidRPr="008B0567">
        <w:rPr>
          <w:rFonts w:cs="Arial"/>
          <w:bCs/>
          <w:szCs w:val="24"/>
        </w:rPr>
        <w:t>19,</w:t>
      </w:r>
      <w:r w:rsidR="003756B1" w:rsidRPr="008B0567">
        <w:rPr>
          <w:rFonts w:cs="Arial"/>
          <w:bCs/>
          <w:szCs w:val="24"/>
        </w:rPr>
        <w:t xml:space="preserve"> and it is unlikely that any additional income will be generated in 2021/22. </w:t>
      </w:r>
    </w:p>
    <w:p w14:paraId="41242973" w14:textId="77777777" w:rsidR="003756B1" w:rsidRPr="008B0567" w:rsidRDefault="003756B1" w:rsidP="003756B1">
      <w:pPr>
        <w:pStyle w:val="ListParagraph"/>
        <w:rPr>
          <w:rFonts w:cs="Arial"/>
          <w:bCs/>
          <w:szCs w:val="24"/>
          <w:lang w:val="en-US"/>
        </w:rPr>
      </w:pPr>
    </w:p>
    <w:p w14:paraId="2356F1C7" w14:textId="7FB58AEC" w:rsidR="003756B1" w:rsidRPr="008B0567" w:rsidRDefault="002543B8" w:rsidP="007A4D31">
      <w:pPr>
        <w:pStyle w:val="ListParagraph"/>
        <w:numPr>
          <w:ilvl w:val="1"/>
          <w:numId w:val="5"/>
        </w:numPr>
        <w:ind w:left="1134" w:hanging="567"/>
        <w:jc w:val="both"/>
        <w:rPr>
          <w:rFonts w:cs="Arial"/>
          <w:b/>
          <w:szCs w:val="24"/>
          <w:u w:val="single"/>
          <w:lang w:val="en-US"/>
        </w:rPr>
      </w:pPr>
      <w:r>
        <w:rPr>
          <w:rFonts w:cs="Arial"/>
          <w:bCs/>
          <w:szCs w:val="24"/>
          <w:lang w:val="en-US"/>
        </w:rPr>
        <w:t>Place</w:t>
      </w:r>
      <w:r w:rsidR="003756B1" w:rsidRPr="008B0567">
        <w:rPr>
          <w:rFonts w:cs="Arial"/>
          <w:bCs/>
          <w:szCs w:val="24"/>
          <w:lang w:val="en-US"/>
        </w:rPr>
        <w:t xml:space="preserve"> £14k – Housing General Fund: </w:t>
      </w:r>
      <w:proofErr w:type="spellStart"/>
      <w:r w:rsidR="003756B1" w:rsidRPr="008B0567">
        <w:rPr>
          <w:rFonts w:cs="Arial"/>
          <w:bCs/>
          <w:szCs w:val="24"/>
          <w:lang w:val="en-US"/>
        </w:rPr>
        <w:t>Travellors</w:t>
      </w:r>
      <w:proofErr w:type="spellEnd"/>
      <w:r w:rsidR="003756B1" w:rsidRPr="008B0567">
        <w:rPr>
          <w:rFonts w:cs="Arial"/>
          <w:bCs/>
          <w:szCs w:val="24"/>
          <w:lang w:val="en-US"/>
        </w:rPr>
        <w:t xml:space="preserve"> Site. The Housing service will be unable to carry out this review in 2021/22 to achieve full cost recovery. The saving will be met from within the Housing General Fund in 2021/22. </w:t>
      </w:r>
    </w:p>
    <w:p w14:paraId="59862054" w14:textId="77777777" w:rsidR="003756B1" w:rsidRPr="008B0567" w:rsidRDefault="003756B1" w:rsidP="003756B1">
      <w:pPr>
        <w:pStyle w:val="ListParagraph"/>
        <w:rPr>
          <w:rFonts w:cs="Arial"/>
          <w:bCs/>
          <w:szCs w:val="24"/>
          <w:lang w:val="en-US"/>
        </w:rPr>
      </w:pPr>
    </w:p>
    <w:p w14:paraId="099329D5" w14:textId="77777777" w:rsidR="003756B1" w:rsidRPr="00AC7EB2" w:rsidRDefault="003756B1" w:rsidP="007A4D31">
      <w:pPr>
        <w:pStyle w:val="ListParagraph"/>
        <w:numPr>
          <w:ilvl w:val="1"/>
          <w:numId w:val="5"/>
        </w:numPr>
        <w:ind w:left="1134" w:hanging="567"/>
        <w:jc w:val="both"/>
        <w:rPr>
          <w:rFonts w:cs="Arial"/>
          <w:b/>
          <w:szCs w:val="24"/>
          <w:u w:val="single"/>
        </w:rPr>
      </w:pPr>
      <w:r w:rsidRPr="00AC7EB2">
        <w:rPr>
          <w:rFonts w:cs="Arial"/>
          <w:bCs/>
          <w:szCs w:val="24"/>
          <w:lang w:val="en-US"/>
        </w:rPr>
        <w:t xml:space="preserve">Corporate £1m – Transformation Savings. </w:t>
      </w:r>
    </w:p>
    <w:p w14:paraId="0D029501" w14:textId="77777777" w:rsidR="006C059A" w:rsidRDefault="006C059A" w:rsidP="006C059A">
      <w:pPr>
        <w:jc w:val="both"/>
        <w:rPr>
          <w:rFonts w:cs="Arial"/>
          <w:b/>
          <w:bCs/>
          <w:color w:val="FF0000"/>
          <w:szCs w:val="24"/>
        </w:rPr>
      </w:pPr>
    </w:p>
    <w:p w14:paraId="39D6BF0B" w14:textId="49F9BE33" w:rsidR="00F3141F" w:rsidRPr="006C059A" w:rsidRDefault="00F3141F" w:rsidP="006C059A">
      <w:pPr>
        <w:ind w:firstLine="460"/>
        <w:jc w:val="both"/>
        <w:rPr>
          <w:rFonts w:cs="Arial"/>
          <w:b/>
          <w:bCs/>
          <w:szCs w:val="24"/>
        </w:rPr>
      </w:pPr>
      <w:r w:rsidRPr="006C059A">
        <w:rPr>
          <w:rFonts w:cs="Arial"/>
          <w:b/>
          <w:bCs/>
          <w:szCs w:val="24"/>
        </w:rPr>
        <w:t>H</w:t>
      </w:r>
      <w:r w:rsidR="001546BF" w:rsidRPr="006C059A">
        <w:rPr>
          <w:rFonts w:cs="Arial"/>
          <w:b/>
          <w:bCs/>
          <w:szCs w:val="24"/>
        </w:rPr>
        <w:t>OUSING REVENUE ACCOUNT</w:t>
      </w:r>
    </w:p>
    <w:p w14:paraId="3F40A04A" w14:textId="77777777" w:rsidR="00966427" w:rsidRPr="006C059A" w:rsidRDefault="00966427" w:rsidP="00966427">
      <w:pPr>
        <w:pStyle w:val="ListParagraph"/>
        <w:rPr>
          <w:rFonts w:cs="Arial"/>
          <w:bCs/>
          <w:szCs w:val="24"/>
        </w:rPr>
      </w:pPr>
    </w:p>
    <w:p w14:paraId="29E9CEEB" w14:textId="75B39F95" w:rsidR="00AE56BA" w:rsidRPr="006C059A" w:rsidRDefault="00966427" w:rsidP="006C059A">
      <w:pPr>
        <w:pStyle w:val="ListParagraph"/>
        <w:numPr>
          <w:ilvl w:val="0"/>
          <w:numId w:val="5"/>
        </w:numPr>
        <w:ind w:left="460" w:hanging="567"/>
        <w:jc w:val="both"/>
      </w:pPr>
      <w:r w:rsidRPr="006C059A">
        <w:rPr>
          <w:rFonts w:cs="Arial"/>
          <w:bCs/>
          <w:szCs w:val="24"/>
        </w:rPr>
        <w:t xml:space="preserve">The </w:t>
      </w:r>
      <w:r w:rsidR="006C059A" w:rsidRPr="006C059A">
        <w:rPr>
          <w:rFonts w:eastAsia="Calibri" w:cs="Arial"/>
          <w:szCs w:val="24"/>
        </w:rPr>
        <w:t xml:space="preserve">outturn for 2021-22 is a general reserves position of £5.677m which reflects an </w:t>
      </w:r>
      <w:r w:rsidR="00452CAC" w:rsidRPr="006C059A">
        <w:rPr>
          <w:rFonts w:eastAsia="Calibri" w:cs="Arial"/>
          <w:szCs w:val="24"/>
        </w:rPr>
        <w:t>in-year</w:t>
      </w:r>
      <w:r w:rsidR="006C059A" w:rsidRPr="006C059A">
        <w:rPr>
          <w:rFonts w:eastAsia="Calibri" w:cs="Arial"/>
          <w:szCs w:val="24"/>
        </w:rPr>
        <w:t xml:space="preserve"> loss of £596k. This is an increase of £196k of the £400k loss previously projected in the HRA in 2021-22.</w:t>
      </w:r>
      <w:r w:rsidR="00AE56BA" w:rsidRPr="006C059A">
        <w:rPr>
          <w:rFonts w:eastAsia="Calibri" w:cs="Arial"/>
          <w:szCs w:val="24"/>
        </w:rPr>
        <w:t xml:space="preserve"> </w:t>
      </w:r>
    </w:p>
    <w:p w14:paraId="22FB631D" w14:textId="77777777" w:rsidR="006C059A" w:rsidRPr="006C059A" w:rsidRDefault="006C059A" w:rsidP="006C059A">
      <w:pPr>
        <w:pStyle w:val="ListParagraph"/>
        <w:ind w:left="460"/>
        <w:jc w:val="both"/>
      </w:pPr>
    </w:p>
    <w:p w14:paraId="59E17EA4" w14:textId="10BD3C90" w:rsidR="00AE56BA" w:rsidRPr="00C920C9" w:rsidRDefault="00AE56BA" w:rsidP="00C920C9">
      <w:pPr>
        <w:jc w:val="both"/>
        <w:rPr>
          <w:b/>
          <w:bCs/>
          <w:u w:val="single"/>
        </w:rPr>
      </w:pPr>
      <w:r w:rsidRPr="00C920C9">
        <w:rPr>
          <w:b/>
          <w:bCs/>
          <w:u w:val="single"/>
        </w:rPr>
        <w:t xml:space="preserve">Table </w:t>
      </w:r>
      <w:r w:rsidR="00C920C9">
        <w:rPr>
          <w:b/>
          <w:bCs/>
          <w:u w:val="single"/>
        </w:rPr>
        <w:t>10</w:t>
      </w:r>
      <w:r w:rsidRPr="00C920C9">
        <w:rPr>
          <w:b/>
          <w:bCs/>
          <w:u w:val="single"/>
        </w:rPr>
        <w:t xml:space="preserve">: </w:t>
      </w:r>
      <w:r w:rsidR="00C920C9">
        <w:rPr>
          <w:b/>
          <w:bCs/>
          <w:u w:val="single"/>
        </w:rPr>
        <w:t>U</w:t>
      </w:r>
      <w:r w:rsidRPr="00C920C9">
        <w:rPr>
          <w:b/>
          <w:bCs/>
          <w:u w:val="single"/>
        </w:rPr>
        <w:t>pdate on Housing Revenue Account</w:t>
      </w:r>
    </w:p>
    <w:p w14:paraId="17AFB69C" w14:textId="77777777" w:rsidR="00AE56BA" w:rsidRPr="00B37833" w:rsidRDefault="00AE56BA" w:rsidP="00AE56BA">
      <w:pPr>
        <w:pStyle w:val="ListParagraph"/>
        <w:ind w:left="567"/>
        <w:jc w:val="both"/>
        <w:rPr>
          <w:color w:val="FF0000"/>
        </w:rPr>
      </w:pPr>
    </w:p>
    <w:tbl>
      <w:tblPr>
        <w:tblW w:w="8505" w:type="dxa"/>
        <w:tblInd w:w="704" w:type="dxa"/>
        <w:tblCellMar>
          <w:left w:w="0" w:type="dxa"/>
          <w:right w:w="0" w:type="dxa"/>
        </w:tblCellMar>
        <w:tblLook w:val="04A0" w:firstRow="1" w:lastRow="0" w:firstColumn="1" w:lastColumn="0" w:noHBand="0" w:noVBand="1"/>
      </w:tblPr>
      <w:tblGrid>
        <w:gridCol w:w="2977"/>
        <w:gridCol w:w="1843"/>
        <w:gridCol w:w="1984"/>
        <w:gridCol w:w="1701"/>
      </w:tblGrid>
      <w:tr w:rsidR="006C059A" w:rsidRPr="00B37833" w14:paraId="1E474A04" w14:textId="77777777" w:rsidTr="006C059A">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DFFAD8" w14:textId="77777777" w:rsidR="006C059A" w:rsidRPr="006C059A" w:rsidRDefault="006C059A" w:rsidP="006C059A">
            <w:pPr>
              <w:rPr>
                <w:color w:val="FF0000"/>
                <w:sz w:val="22"/>
                <w:szCs w:val="22"/>
              </w:rPr>
            </w:pPr>
          </w:p>
        </w:tc>
        <w:tc>
          <w:tcPr>
            <w:tcW w:w="18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509CCF6" w14:textId="4A9FD3A9" w:rsidR="006C059A" w:rsidRPr="006C059A" w:rsidRDefault="006C059A" w:rsidP="006C059A">
            <w:pPr>
              <w:jc w:val="center"/>
              <w:rPr>
                <w:rFonts w:ascii="Calibri" w:hAnsi="Calibri" w:cs="Calibri"/>
                <w:b/>
                <w:bCs/>
                <w:color w:val="FF0000"/>
                <w:sz w:val="22"/>
                <w:szCs w:val="22"/>
              </w:rPr>
            </w:pPr>
            <w:r w:rsidRPr="006C059A">
              <w:rPr>
                <w:rFonts w:cs="Arial"/>
                <w:b/>
                <w:bCs/>
                <w:sz w:val="22"/>
                <w:szCs w:val="22"/>
                <w:lang w:eastAsia="en-GB"/>
              </w:rPr>
              <w:t>Budget 2021</w:t>
            </w:r>
            <w:r>
              <w:rPr>
                <w:rFonts w:cs="Arial"/>
                <w:b/>
                <w:bCs/>
                <w:sz w:val="22"/>
                <w:szCs w:val="22"/>
                <w:lang w:eastAsia="en-GB"/>
              </w:rPr>
              <w:t>-</w:t>
            </w:r>
            <w:r w:rsidRPr="006C059A">
              <w:rPr>
                <w:rFonts w:cs="Arial"/>
                <w:b/>
                <w:bCs/>
                <w:sz w:val="22"/>
                <w:szCs w:val="22"/>
                <w:lang w:eastAsia="en-GB"/>
              </w:rPr>
              <w:t>22</w:t>
            </w:r>
          </w:p>
        </w:tc>
        <w:tc>
          <w:tcPr>
            <w:tcW w:w="198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3408B217" w14:textId="4E9BD94C" w:rsidR="006C059A" w:rsidRPr="006C059A" w:rsidRDefault="006C059A" w:rsidP="006C059A">
            <w:pPr>
              <w:jc w:val="center"/>
              <w:rPr>
                <w:b/>
                <w:bCs/>
                <w:color w:val="FF0000"/>
                <w:sz w:val="22"/>
                <w:szCs w:val="22"/>
              </w:rPr>
            </w:pPr>
            <w:r w:rsidRPr="006C059A">
              <w:rPr>
                <w:rFonts w:cs="Arial"/>
                <w:b/>
                <w:bCs/>
                <w:sz w:val="22"/>
                <w:szCs w:val="22"/>
                <w:lang w:eastAsia="en-GB"/>
              </w:rPr>
              <w:t>Outturn 2021</w:t>
            </w:r>
            <w:r>
              <w:rPr>
                <w:rFonts w:cs="Arial"/>
                <w:b/>
                <w:bCs/>
                <w:sz w:val="22"/>
                <w:szCs w:val="22"/>
                <w:lang w:eastAsia="en-GB"/>
              </w:rPr>
              <w:t>-</w:t>
            </w:r>
            <w:r w:rsidRPr="006C059A">
              <w:rPr>
                <w:rFonts w:cs="Arial"/>
                <w:b/>
                <w:bCs/>
                <w:sz w:val="22"/>
                <w:szCs w:val="22"/>
                <w:lang w:eastAsia="en-GB"/>
              </w:rPr>
              <w:t>22</w:t>
            </w:r>
          </w:p>
        </w:tc>
        <w:tc>
          <w:tcPr>
            <w:tcW w:w="17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CA8AED0" w14:textId="6FBAB3A1" w:rsidR="006C059A" w:rsidRPr="006C059A" w:rsidRDefault="006C059A" w:rsidP="006C059A">
            <w:pPr>
              <w:jc w:val="center"/>
              <w:rPr>
                <w:b/>
                <w:bCs/>
                <w:color w:val="FF0000"/>
                <w:sz w:val="22"/>
                <w:szCs w:val="22"/>
              </w:rPr>
            </w:pPr>
            <w:r w:rsidRPr="006C059A">
              <w:rPr>
                <w:rFonts w:cs="Arial"/>
                <w:b/>
                <w:bCs/>
                <w:sz w:val="22"/>
                <w:szCs w:val="22"/>
                <w:lang w:eastAsia="en-GB"/>
              </w:rPr>
              <w:t>Variance</w:t>
            </w:r>
          </w:p>
        </w:tc>
      </w:tr>
      <w:tr w:rsidR="006C059A" w:rsidRPr="00B37833" w14:paraId="26B70E52" w14:textId="77777777" w:rsidTr="006C059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EF3706" w14:textId="77777777" w:rsidR="006C059A" w:rsidRPr="006C059A" w:rsidRDefault="006C059A" w:rsidP="006C059A">
            <w:pPr>
              <w:rPr>
                <w:color w:val="FF0000"/>
                <w:sz w:val="22"/>
                <w:szCs w:val="22"/>
              </w:rPr>
            </w:pP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3D8CC7EF" w14:textId="152799D0" w:rsidR="006C059A" w:rsidRPr="006C059A" w:rsidRDefault="006C059A" w:rsidP="006C059A">
            <w:pPr>
              <w:jc w:val="right"/>
              <w:rPr>
                <w:b/>
                <w:bCs/>
                <w:color w:val="FF0000"/>
                <w:sz w:val="22"/>
                <w:szCs w:val="22"/>
              </w:rPr>
            </w:pPr>
            <w:r w:rsidRPr="006C059A">
              <w:rPr>
                <w:rFonts w:cs="Arial"/>
                <w:b/>
                <w:bCs/>
                <w:sz w:val="22"/>
                <w:szCs w:val="22"/>
                <w:lang w:eastAsia="en-GB"/>
              </w:rPr>
              <w:t>£’000</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CDEEC25" w14:textId="7C949042" w:rsidR="006C059A" w:rsidRPr="006C059A" w:rsidRDefault="006C059A" w:rsidP="006C059A">
            <w:pPr>
              <w:jc w:val="right"/>
              <w:rPr>
                <w:b/>
                <w:bCs/>
                <w:color w:val="FF0000"/>
                <w:sz w:val="22"/>
                <w:szCs w:val="22"/>
              </w:rPr>
            </w:pPr>
            <w:r w:rsidRPr="006C059A">
              <w:rPr>
                <w:rFonts w:cs="Arial"/>
                <w:b/>
                <w:bCs/>
                <w:sz w:val="22"/>
                <w:szCs w:val="22"/>
                <w:lang w:eastAsia="en-GB"/>
              </w:rPr>
              <w:t>£’000</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4329693C" w14:textId="460987B4" w:rsidR="006C059A" w:rsidRPr="006C059A" w:rsidRDefault="006C059A" w:rsidP="006C059A">
            <w:pPr>
              <w:jc w:val="right"/>
              <w:rPr>
                <w:b/>
                <w:bCs/>
                <w:color w:val="FF0000"/>
                <w:sz w:val="22"/>
                <w:szCs w:val="22"/>
              </w:rPr>
            </w:pPr>
            <w:r w:rsidRPr="006C059A">
              <w:rPr>
                <w:rFonts w:cs="Arial"/>
                <w:b/>
                <w:bCs/>
                <w:sz w:val="22"/>
                <w:szCs w:val="22"/>
                <w:lang w:eastAsia="en-GB"/>
              </w:rPr>
              <w:t>£’000</w:t>
            </w:r>
          </w:p>
        </w:tc>
      </w:tr>
      <w:tr w:rsidR="006C059A" w:rsidRPr="00B37833" w14:paraId="0C2307AC" w14:textId="77777777" w:rsidTr="006C059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7AD2C5D" w14:textId="21BFA272" w:rsidR="006C059A" w:rsidRPr="006C059A" w:rsidRDefault="006C059A" w:rsidP="006C059A">
            <w:pPr>
              <w:rPr>
                <w:color w:val="FF0000"/>
                <w:sz w:val="22"/>
                <w:szCs w:val="22"/>
              </w:rPr>
            </w:pPr>
            <w:r w:rsidRPr="006C059A">
              <w:rPr>
                <w:rFonts w:cs="Arial"/>
                <w:sz w:val="22"/>
                <w:szCs w:val="22"/>
                <w:lang w:eastAsia="en-GB"/>
              </w:rPr>
              <w:t>Reserves b/</w:t>
            </w:r>
            <w:proofErr w:type="spellStart"/>
            <w:r w:rsidRPr="006C059A">
              <w:rPr>
                <w:rFonts w:cs="Arial"/>
                <w:sz w:val="22"/>
                <w:szCs w:val="22"/>
                <w:lang w:eastAsia="en-GB"/>
              </w:rPr>
              <w:t>fwd</w:t>
            </w:r>
            <w:proofErr w:type="spellEnd"/>
            <w:r w:rsidRPr="006C059A">
              <w:rPr>
                <w:rFonts w:cs="Arial"/>
                <w:sz w:val="22"/>
                <w:szCs w:val="22"/>
                <w:lang w:eastAsia="en-GB"/>
              </w:rPr>
              <w:t xml:space="preserve">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5D272A2" w14:textId="14C3001A" w:rsidR="006C059A" w:rsidRPr="006C059A" w:rsidRDefault="006C059A" w:rsidP="006C059A">
            <w:pPr>
              <w:jc w:val="right"/>
              <w:rPr>
                <w:color w:val="FF0000"/>
                <w:sz w:val="22"/>
                <w:szCs w:val="22"/>
              </w:rPr>
            </w:pPr>
            <w:r w:rsidRPr="006C059A">
              <w:rPr>
                <w:rFonts w:cs="Arial"/>
                <w:sz w:val="22"/>
                <w:szCs w:val="22"/>
                <w:lang w:eastAsia="en-GB"/>
              </w:rPr>
              <w:t>-6,273</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584AFDB" w14:textId="2B27644E" w:rsidR="006C059A" w:rsidRPr="006C059A" w:rsidRDefault="006C059A" w:rsidP="006C059A">
            <w:pPr>
              <w:jc w:val="right"/>
              <w:rPr>
                <w:color w:val="FF0000"/>
                <w:sz w:val="22"/>
                <w:szCs w:val="22"/>
              </w:rPr>
            </w:pPr>
            <w:r w:rsidRPr="006C059A">
              <w:rPr>
                <w:rFonts w:cs="Arial"/>
                <w:sz w:val="22"/>
                <w:szCs w:val="22"/>
                <w:lang w:eastAsia="en-GB"/>
              </w:rPr>
              <w:t>-6,273</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3CC9287D" w14:textId="26D71D14" w:rsidR="006C059A" w:rsidRPr="006C059A" w:rsidRDefault="006C059A" w:rsidP="006C059A">
            <w:pPr>
              <w:jc w:val="right"/>
              <w:rPr>
                <w:color w:val="FF0000"/>
                <w:sz w:val="22"/>
                <w:szCs w:val="22"/>
              </w:rPr>
            </w:pPr>
            <w:r w:rsidRPr="006C059A">
              <w:rPr>
                <w:rFonts w:cs="Arial"/>
                <w:sz w:val="22"/>
                <w:szCs w:val="22"/>
                <w:lang w:eastAsia="en-GB"/>
              </w:rPr>
              <w:t>0</w:t>
            </w:r>
          </w:p>
        </w:tc>
      </w:tr>
      <w:tr w:rsidR="006C059A" w:rsidRPr="00B37833" w14:paraId="1D3B898C" w14:textId="77777777" w:rsidTr="006C059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6EA172B" w14:textId="39101D3F" w:rsidR="006C059A" w:rsidRPr="006C059A" w:rsidRDefault="006C059A" w:rsidP="006C059A">
            <w:pPr>
              <w:rPr>
                <w:color w:val="FF0000"/>
                <w:sz w:val="22"/>
                <w:szCs w:val="22"/>
              </w:rPr>
            </w:pPr>
            <w:r w:rsidRPr="006C059A">
              <w:rPr>
                <w:rFonts w:cs="Arial"/>
                <w:sz w:val="22"/>
                <w:szCs w:val="22"/>
                <w:lang w:eastAsia="en-GB"/>
              </w:rPr>
              <w:t xml:space="preserve">In year position deficit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79C9374" w14:textId="1398C2EC" w:rsidR="006C059A" w:rsidRPr="006C059A" w:rsidRDefault="006C059A" w:rsidP="006C059A">
            <w:pPr>
              <w:jc w:val="right"/>
              <w:rPr>
                <w:color w:val="FF0000"/>
                <w:sz w:val="22"/>
                <w:szCs w:val="22"/>
              </w:rPr>
            </w:pPr>
            <w:r w:rsidRPr="006C059A">
              <w:rPr>
                <w:rFonts w:cs="Arial"/>
                <w:sz w:val="22"/>
                <w:szCs w:val="22"/>
                <w:lang w:eastAsia="en-GB"/>
              </w:rPr>
              <w:t>0</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CD1A5AC" w14:textId="08BF4B53" w:rsidR="006C059A" w:rsidRPr="006C059A" w:rsidRDefault="006C059A" w:rsidP="006C059A">
            <w:pPr>
              <w:jc w:val="right"/>
              <w:rPr>
                <w:color w:val="FF0000"/>
                <w:sz w:val="22"/>
                <w:szCs w:val="22"/>
              </w:rPr>
            </w:pPr>
            <w:r w:rsidRPr="006C059A">
              <w:rPr>
                <w:rFonts w:cs="Arial"/>
                <w:sz w:val="22"/>
                <w:szCs w:val="22"/>
                <w:lang w:eastAsia="en-GB"/>
              </w:rPr>
              <w:t>596</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1DECB72A" w14:textId="3B9C5113" w:rsidR="006C059A" w:rsidRPr="006C059A" w:rsidRDefault="006C059A" w:rsidP="006C059A">
            <w:pPr>
              <w:jc w:val="right"/>
              <w:rPr>
                <w:color w:val="FF0000"/>
                <w:sz w:val="22"/>
                <w:szCs w:val="22"/>
              </w:rPr>
            </w:pPr>
            <w:r w:rsidRPr="006C059A">
              <w:rPr>
                <w:rFonts w:cs="Arial"/>
                <w:sz w:val="22"/>
                <w:szCs w:val="22"/>
                <w:lang w:eastAsia="en-GB"/>
              </w:rPr>
              <w:t>596</w:t>
            </w:r>
          </w:p>
        </w:tc>
      </w:tr>
      <w:tr w:rsidR="006C059A" w:rsidRPr="00B37833" w14:paraId="47A62DAF" w14:textId="77777777" w:rsidTr="006C059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A165B01" w14:textId="4FC7B64C" w:rsidR="006C059A" w:rsidRPr="006C059A" w:rsidRDefault="006C059A" w:rsidP="006C059A">
            <w:pPr>
              <w:rPr>
                <w:color w:val="FF0000"/>
                <w:sz w:val="22"/>
                <w:szCs w:val="22"/>
              </w:rPr>
            </w:pPr>
            <w:r w:rsidRPr="006C059A">
              <w:rPr>
                <w:rFonts w:cs="Arial"/>
                <w:b/>
                <w:bCs/>
                <w:sz w:val="22"/>
                <w:szCs w:val="22"/>
                <w:lang w:eastAsia="en-GB"/>
              </w:rPr>
              <w:t>Balance c/</w:t>
            </w:r>
            <w:proofErr w:type="spellStart"/>
            <w:r w:rsidRPr="006C059A">
              <w:rPr>
                <w:rFonts w:cs="Arial"/>
                <w:b/>
                <w:bCs/>
                <w:sz w:val="22"/>
                <w:szCs w:val="22"/>
                <w:lang w:eastAsia="en-GB"/>
              </w:rPr>
              <w:t>fwd</w:t>
            </w:r>
            <w:proofErr w:type="spellEnd"/>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98DC8FC" w14:textId="01B0515B" w:rsidR="006C059A" w:rsidRPr="006C059A" w:rsidRDefault="006C059A" w:rsidP="006C059A">
            <w:pPr>
              <w:jc w:val="right"/>
              <w:rPr>
                <w:color w:val="FF0000"/>
                <w:sz w:val="22"/>
                <w:szCs w:val="22"/>
              </w:rPr>
            </w:pPr>
            <w:r w:rsidRPr="006C059A">
              <w:rPr>
                <w:rFonts w:cs="Arial"/>
                <w:b/>
                <w:bCs/>
                <w:sz w:val="22"/>
                <w:szCs w:val="22"/>
                <w:lang w:eastAsia="en-GB"/>
              </w:rPr>
              <w:t>-6,273</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F64393F" w14:textId="4B59E8F1" w:rsidR="006C059A" w:rsidRPr="006C059A" w:rsidRDefault="006C059A" w:rsidP="006C059A">
            <w:pPr>
              <w:jc w:val="right"/>
              <w:rPr>
                <w:color w:val="FF0000"/>
                <w:sz w:val="22"/>
                <w:szCs w:val="22"/>
              </w:rPr>
            </w:pPr>
            <w:r w:rsidRPr="006C059A">
              <w:rPr>
                <w:rFonts w:cs="Arial"/>
                <w:b/>
                <w:bCs/>
                <w:sz w:val="22"/>
                <w:szCs w:val="22"/>
                <w:lang w:eastAsia="en-GB"/>
              </w:rPr>
              <w:t>-5,677</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2E171C51" w14:textId="647CB955" w:rsidR="006C059A" w:rsidRPr="006C059A" w:rsidRDefault="006C059A" w:rsidP="006C059A">
            <w:pPr>
              <w:jc w:val="right"/>
              <w:rPr>
                <w:color w:val="FF0000"/>
                <w:sz w:val="22"/>
                <w:szCs w:val="22"/>
              </w:rPr>
            </w:pPr>
            <w:r w:rsidRPr="006C059A">
              <w:rPr>
                <w:rFonts w:cs="Arial"/>
                <w:b/>
                <w:bCs/>
                <w:sz w:val="22"/>
                <w:szCs w:val="22"/>
                <w:lang w:eastAsia="en-GB"/>
              </w:rPr>
              <w:t>596</w:t>
            </w:r>
          </w:p>
        </w:tc>
      </w:tr>
    </w:tbl>
    <w:p w14:paraId="4D337FBF" w14:textId="77777777" w:rsidR="00AE56BA" w:rsidRPr="00B37833" w:rsidRDefault="00AE56BA" w:rsidP="00AE56BA">
      <w:pPr>
        <w:rPr>
          <w:rFonts w:ascii="Calibri" w:eastAsiaTheme="minorHAnsi" w:hAnsi="Calibri" w:cs="Calibri"/>
          <w:color w:val="FF0000"/>
          <w:sz w:val="22"/>
          <w:szCs w:val="22"/>
        </w:rPr>
      </w:pPr>
    </w:p>
    <w:p w14:paraId="388A6E95" w14:textId="16D89908" w:rsidR="006C059A" w:rsidRPr="006C059A" w:rsidRDefault="006C059A" w:rsidP="006C059A">
      <w:pPr>
        <w:pStyle w:val="ListParagraph"/>
        <w:numPr>
          <w:ilvl w:val="0"/>
          <w:numId w:val="5"/>
        </w:numPr>
        <w:ind w:left="460" w:hanging="567"/>
        <w:jc w:val="both"/>
      </w:pPr>
      <w:r>
        <w:t xml:space="preserve">Table </w:t>
      </w:r>
      <w:r w:rsidR="00C920C9">
        <w:t>11</w:t>
      </w:r>
      <w:r>
        <w:t xml:space="preserve"> summarised the variances by the main headings</w:t>
      </w:r>
    </w:p>
    <w:p w14:paraId="53AA3B40" w14:textId="5F72BC19" w:rsidR="008D7EB3" w:rsidRDefault="008D7EB3" w:rsidP="006C059A">
      <w:pPr>
        <w:ind w:left="460"/>
        <w:jc w:val="both"/>
        <w:rPr>
          <w:rFonts w:cs="Arial"/>
          <w:b/>
          <w:color w:val="FF0000"/>
          <w:szCs w:val="24"/>
        </w:rPr>
      </w:pPr>
    </w:p>
    <w:p w14:paraId="4FA6E299" w14:textId="1334D72B" w:rsidR="006C059A" w:rsidRPr="00C920C9" w:rsidRDefault="006C059A" w:rsidP="00C920C9">
      <w:pPr>
        <w:jc w:val="both"/>
        <w:rPr>
          <w:b/>
          <w:bCs/>
          <w:u w:val="single"/>
        </w:rPr>
      </w:pPr>
      <w:r w:rsidRPr="00C920C9">
        <w:rPr>
          <w:b/>
          <w:bCs/>
          <w:u w:val="single"/>
        </w:rPr>
        <w:t xml:space="preserve">Table </w:t>
      </w:r>
      <w:r w:rsidR="00C920C9">
        <w:rPr>
          <w:b/>
          <w:bCs/>
          <w:u w:val="single"/>
        </w:rPr>
        <w:t>11</w:t>
      </w:r>
      <w:r w:rsidRPr="00C920C9">
        <w:rPr>
          <w:b/>
          <w:bCs/>
          <w:u w:val="single"/>
        </w:rPr>
        <w:t>: summary of variances on Housing Revenue Accounts</w:t>
      </w:r>
    </w:p>
    <w:p w14:paraId="629DEBFA" w14:textId="77777777" w:rsidR="006C059A" w:rsidRDefault="006C059A">
      <w:pPr>
        <w:jc w:val="both"/>
        <w:rPr>
          <w:rFonts w:cs="Arial"/>
          <w:b/>
          <w:color w:val="FF0000"/>
          <w:szCs w:val="24"/>
        </w:rPr>
      </w:pPr>
    </w:p>
    <w:tbl>
      <w:tblPr>
        <w:tblW w:w="8505" w:type="dxa"/>
        <w:tblInd w:w="704" w:type="dxa"/>
        <w:tblCellMar>
          <w:left w:w="0" w:type="dxa"/>
          <w:right w:w="0" w:type="dxa"/>
        </w:tblCellMar>
        <w:tblLook w:val="04A0" w:firstRow="1" w:lastRow="0" w:firstColumn="1" w:lastColumn="0" w:noHBand="0" w:noVBand="1"/>
      </w:tblPr>
      <w:tblGrid>
        <w:gridCol w:w="2977"/>
        <w:gridCol w:w="1843"/>
        <w:gridCol w:w="1984"/>
        <w:gridCol w:w="1701"/>
      </w:tblGrid>
      <w:tr w:rsidR="006C059A" w:rsidRPr="006C059A" w14:paraId="0A3329B2" w14:textId="77777777" w:rsidTr="00BC2760">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2A61E7" w14:textId="77777777" w:rsidR="006C059A" w:rsidRPr="006C059A" w:rsidRDefault="006C059A" w:rsidP="00BC2760">
            <w:pPr>
              <w:rPr>
                <w:color w:val="FF0000"/>
                <w:sz w:val="22"/>
                <w:szCs w:val="22"/>
              </w:rPr>
            </w:pPr>
          </w:p>
        </w:tc>
        <w:tc>
          <w:tcPr>
            <w:tcW w:w="18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DFA8DCA" w14:textId="77777777" w:rsidR="006C059A" w:rsidRPr="006C059A" w:rsidRDefault="006C059A" w:rsidP="00BC2760">
            <w:pPr>
              <w:jc w:val="center"/>
              <w:rPr>
                <w:rFonts w:ascii="Calibri" w:hAnsi="Calibri" w:cs="Calibri"/>
                <w:b/>
                <w:bCs/>
                <w:color w:val="FF0000"/>
                <w:sz w:val="22"/>
                <w:szCs w:val="22"/>
              </w:rPr>
            </w:pPr>
            <w:r w:rsidRPr="006C059A">
              <w:rPr>
                <w:rFonts w:cs="Arial"/>
                <w:b/>
                <w:bCs/>
                <w:sz w:val="22"/>
                <w:szCs w:val="22"/>
                <w:lang w:eastAsia="en-GB"/>
              </w:rPr>
              <w:t>Budget 2021-22</w:t>
            </w:r>
          </w:p>
        </w:tc>
        <w:tc>
          <w:tcPr>
            <w:tcW w:w="198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01E8B67" w14:textId="77777777" w:rsidR="006C059A" w:rsidRPr="006C059A" w:rsidRDefault="006C059A" w:rsidP="00BC2760">
            <w:pPr>
              <w:jc w:val="center"/>
              <w:rPr>
                <w:b/>
                <w:bCs/>
                <w:color w:val="FF0000"/>
                <w:sz w:val="22"/>
                <w:szCs w:val="22"/>
              </w:rPr>
            </w:pPr>
            <w:r w:rsidRPr="006C059A">
              <w:rPr>
                <w:rFonts w:cs="Arial"/>
                <w:b/>
                <w:bCs/>
                <w:sz w:val="22"/>
                <w:szCs w:val="22"/>
                <w:lang w:eastAsia="en-GB"/>
              </w:rPr>
              <w:t>Outturn 2021-22</w:t>
            </w:r>
          </w:p>
        </w:tc>
        <w:tc>
          <w:tcPr>
            <w:tcW w:w="17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ED69C32" w14:textId="77777777" w:rsidR="006C059A" w:rsidRPr="006C059A" w:rsidRDefault="006C059A" w:rsidP="00BC2760">
            <w:pPr>
              <w:jc w:val="center"/>
              <w:rPr>
                <w:b/>
                <w:bCs/>
                <w:color w:val="FF0000"/>
                <w:sz w:val="22"/>
                <w:szCs w:val="22"/>
              </w:rPr>
            </w:pPr>
            <w:r w:rsidRPr="006C059A">
              <w:rPr>
                <w:rFonts w:cs="Arial"/>
                <w:b/>
                <w:bCs/>
                <w:sz w:val="22"/>
                <w:szCs w:val="22"/>
                <w:lang w:eastAsia="en-GB"/>
              </w:rPr>
              <w:t>Variance</w:t>
            </w:r>
          </w:p>
        </w:tc>
      </w:tr>
      <w:tr w:rsidR="006C059A" w:rsidRPr="006C059A" w14:paraId="0D648A9D" w14:textId="77777777" w:rsidTr="00BC2760">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D34B22" w14:textId="77777777" w:rsidR="006C059A" w:rsidRPr="006C059A" w:rsidRDefault="006C059A" w:rsidP="00BC2760">
            <w:pPr>
              <w:rPr>
                <w:color w:val="FF0000"/>
                <w:sz w:val="22"/>
                <w:szCs w:val="22"/>
              </w:rPr>
            </w:pP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FF63D68" w14:textId="77777777" w:rsidR="006C059A" w:rsidRPr="006C059A" w:rsidRDefault="006C059A" w:rsidP="00BC2760">
            <w:pPr>
              <w:jc w:val="right"/>
              <w:rPr>
                <w:b/>
                <w:bCs/>
                <w:color w:val="FF0000"/>
                <w:sz w:val="22"/>
                <w:szCs w:val="22"/>
              </w:rPr>
            </w:pPr>
            <w:r w:rsidRPr="006C059A">
              <w:rPr>
                <w:rFonts w:cs="Arial"/>
                <w:b/>
                <w:bCs/>
                <w:sz w:val="22"/>
                <w:szCs w:val="22"/>
                <w:lang w:eastAsia="en-GB"/>
              </w:rPr>
              <w:t>£’000</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49E8165" w14:textId="77777777" w:rsidR="006C059A" w:rsidRPr="006C059A" w:rsidRDefault="006C059A" w:rsidP="00BC2760">
            <w:pPr>
              <w:jc w:val="right"/>
              <w:rPr>
                <w:b/>
                <w:bCs/>
                <w:color w:val="FF0000"/>
                <w:sz w:val="22"/>
                <w:szCs w:val="22"/>
              </w:rPr>
            </w:pPr>
            <w:r w:rsidRPr="006C059A">
              <w:rPr>
                <w:rFonts w:cs="Arial"/>
                <w:b/>
                <w:bCs/>
                <w:sz w:val="22"/>
                <w:szCs w:val="22"/>
                <w:lang w:eastAsia="en-GB"/>
              </w:rPr>
              <w:t>£’000</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1FD6C587" w14:textId="77777777" w:rsidR="006C059A" w:rsidRPr="006C059A" w:rsidRDefault="006C059A" w:rsidP="00BC2760">
            <w:pPr>
              <w:jc w:val="right"/>
              <w:rPr>
                <w:b/>
                <w:bCs/>
                <w:color w:val="FF0000"/>
                <w:sz w:val="22"/>
                <w:szCs w:val="22"/>
              </w:rPr>
            </w:pPr>
            <w:r w:rsidRPr="006C059A">
              <w:rPr>
                <w:rFonts w:cs="Arial"/>
                <w:b/>
                <w:bCs/>
                <w:sz w:val="22"/>
                <w:szCs w:val="22"/>
                <w:lang w:eastAsia="en-GB"/>
              </w:rPr>
              <w:t>£’000</w:t>
            </w:r>
          </w:p>
        </w:tc>
      </w:tr>
      <w:tr w:rsidR="006C059A" w:rsidRPr="006C059A" w14:paraId="5D905D49" w14:textId="77777777" w:rsidTr="00F43C3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5264FD9" w14:textId="7E1A607F" w:rsidR="006C059A" w:rsidRPr="006C059A" w:rsidRDefault="006C059A" w:rsidP="006C059A">
            <w:pPr>
              <w:rPr>
                <w:color w:val="FF0000"/>
                <w:sz w:val="22"/>
                <w:szCs w:val="22"/>
              </w:rPr>
            </w:pPr>
            <w:r w:rsidRPr="006C059A">
              <w:rPr>
                <w:sz w:val="22"/>
                <w:szCs w:val="22"/>
              </w:rPr>
              <w:t xml:space="preserve">Income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09D2151F" w14:textId="53B5B597" w:rsidR="006C059A" w:rsidRPr="006C059A" w:rsidRDefault="006C059A" w:rsidP="006C059A">
            <w:pPr>
              <w:jc w:val="right"/>
              <w:rPr>
                <w:color w:val="FF0000"/>
                <w:sz w:val="22"/>
                <w:szCs w:val="22"/>
              </w:rPr>
            </w:pPr>
            <w:r w:rsidRPr="006C059A">
              <w:rPr>
                <w:sz w:val="22"/>
                <w:szCs w:val="22"/>
              </w:rPr>
              <w:t xml:space="preserve">-32,234 </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5B80FF35" w14:textId="25A116C7" w:rsidR="006C059A" w:rsidRPr="006C059A" w:rsidRDefault="006C059A" w:rsidP="006C059A">
            <w:pPr>
              <w:jc w:val="right"/>
              <w:rPr>
                <w:color w:val="FF0000"/>
                <w:sz w:val="22"/>
                <w:szCs w:val="22"/>
              </w:rPr>
            </w:pPr>
            <w:r w:rsidRPr="006C059A">
              <w:rPr>
                <w:sz w:val="22"/>
                <w:szCs w:val="22"/>
              </w:rPr>
              <w:t xml:space="preserve">-31,885 </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7ECB6FE3" w14:textId="30DB7726" w:rsidR="006C059A" w:rsidRPr="006C059A" w:rsidRDefault="006C059A" w:rsidP="006C059A">
            <w:pPr>
              <w:jc w:val="right"/>
              <w:rPr>
                <w:color w:val="FF0000"/>
                <w:sz w:val="22"/>
                <w:szCs w:val="22"/>
              </w:rPr>
            </w:pPr>
            <w:r w:rsidRPr="006C059A">
              <w:rPr>
                <w:sz w:val="22"/>
                <w:szCs w:val="22"/>
              </w:rPr>
              <w:t xml:space="preserve"> 350 </w:t>
            </w:r>
          </w:p>
        </w:tc>
      </w:tr>
      <w:tr w:rsidR="006C059A" w:rsidRPr="006C059A" w14:paraId="57D714B6" w14:textId="77777777" w:rsidTr="00F43C3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2D5A5D" w14:textId="6E76A8F8" w:rsidR="006C059A" w:rsidRPr="006C059A" w:rsidRDefault="006C059A" w:rsidP="006C059A">
            <w:pPr>
              <w:rPr>
                <w:rFonts w:cs="Arial"/>
                <w:sz w:val="22"/>
                <w:szCs w:val="22"/>
                <w:lang w:eastAsia="en-GB"/>
              </w:rPr>
            </w:pPr>
            <w:r w:rsidRPr="006C059A">
              <w:rPr>
                <w:sz w:val="22"/>
                <w:szCs w:val="22"/>
              </w:rPr>
              <w:t xml:space="preserve">Operating Expenditure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8F07B40" w14:textId="593D2CD3" w:rsidR="006C059A" w:rsidRPr="006C059A" w:rsidRDefault="006C059A" w:rsidP="006C059A">
            <w:pPr>
              <w:jc w:val="right"/>
              <w:rPr>
                <w:rFonts w:cs="Arial"/>
                <w:sz w:val="22"/>
                <w:szCs w:val="22"/>
                <w:lang w:eastAsia="en-GB"/>
              </w:rPr>
            </w:pPr>
            <w:r w:rsidRPr="006C059A">
              <w:rPr>
                <w:sz w:val="22"/>
                <w:szCs w:val="22"/>
              </w:rPr>
              <w:t xml:space="preserve"> 10,752 </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CB51B72" w14:textId="1AED88E0" w:rsidR="006C059A" w:rsidRPr="006C059A" w:rsidRDefault="006C059A" w:rsidP="006C059A">
            <w:pPr>
              <w:jc w:val="right"/>
              <w:rPr>
                <w:rFonts w:cs="Arial"/>
                <w:sz w:val="22"/>
                <w:szCs w:val="22"/>
                <w:lang w:eastAsia="en-GB"/>
              </w:rPr>
            </w:pPr>
            <w:r w:rsidRPr="006C059A">
              <w:rPr>
                <w:sz w:val="22"/>
                <w:szCs w:val="22"/>
              </w:rPr>
              <w:t xml:space="preserve"> 10,336 </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AEAAC0C" w14:textId="25A8B445" w:rsidR="006C059A" w:rsidRPr="006C059A" w:rsidRDefault="006C059A" w:rsidP="006C059A">
            <w:pPr>
              <w:jc w:val="right"/>
              <w:rPr>
                <w:rFonts w:cs="Arial"/>
                <w:sz w:val="22"/>
                <w:szCs w:val="22"/>
                <w:lang w:eastAsia="en-GB"/>
              </w:rPr>
            </w:pPr>
            <w:r w:rsidRPr="006C059A">
              <w:rPr>
                <w:sz w:val="22"/>
                <w:szCs w:val="22"/>
              </w:rPr>
              <w:t xml:space="preserve">-416 </w:t>
            </w:r>
          </w:p>
        </w:tc>
      </w:tr>
      <w:tr w:rsidR="006C059A" w:rsidRPr="006C059A" w14:paraId="116D3BA0" w14:textId="77777777" w:rsidTr="00F43C3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7DD9C7" w14:textId="54188C10" w:rsidR="006C059A" w:rsidRPr="006C059A" w:rsidRDefault="006C059A" w:rsidP="006C059A">
            <w:pPr>
              <w:rPr>
                <w:rFonts w:cs="Arial"/>
                <w:sz w:val="22"/>
                <w:szCs w:val="22"/>
                <w:lang w:eastAsia="en-GB"/>
              </w:rPr>
            </w:pPr>
            <w:r w:rsidRPr="006C059A">
              <w:rPr>
                <w:sz w:val="22"/>
                <w:szCs w:val="22"/>
              </w:rPr>
              <w:t xml:space="preserve">Other Expenditure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D187344" w14:textId="4CC22937" w:rsidR="006C059A" w:rsidRPr="006C059A" w:rsidRDefault="006C059A" w:rsidP="006C059A">
            <w:pPr>
              <w:jc w:val="right"/>
              <w:rPr>
                <w:rFonts w:cs="Arial"/>
                <w:sz w:val="22"/>
                <w:szCs w:val="22"/>
                <w:lang w:eastAsia="en-GB"/>
              </w:rPr>
            </w:pPr>
            <w:r w:rsidRPr="006C059A">
              <w:rPr>
                <w:sz w:val="22"/>
                <w:szCs w:val="22"/>
              </w:rPr>
              <w:t xml:space="preserve"> 14,636 </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E0AFEF3" w14:textId="4FB3EFEE" w:rsidR="006C059A" w:rsidRPr="006C059A" w:rsidRDefault="006C059A" w:rsidP="006C059A">
            <w:pPr>
              <w:jc w:val="right"/>
              <w:rPr>
                <w:rFonts w:cs="Arial"/>
                <w:sz w:val="22"/>
                <w:szCs w:val="22"/>
                <w:lang w:eastAsia="en-GB"/>
              </w:rPr>
            </w:pPr>
            <w:r w:rsidRPr="006C059A">
              <w:rPr>
                <w:sz w:val="22"/>
                <w:szCs w:val="22"/>
              </w:rPr>
              <w:t xml:space="preserve"> 14,285 </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6E384DE" w14:textId="45086C34" w:rsidR="006C059A" w:rsidRPr="006C059A" w:rsidRDefault="006C059A" w:rsidP="006C059A">
            <w:pPr>
              <w:jc w:val="right"/>
              <w:rPr>
                <w:rFonts w:cs="Arial"/>
                <w:sz w:val="22"/>
                <w:szCs w:val="22"/>
                <w:lang w:eastAsia="en-GB"/>
              </w:rPr>
            </w:pPr>
            <w:r w:rsidRPr="006C059A">
              <w:rPr>
                <w:sz w:val="22"/>
                <w:szCs w:val="22"/>
              </w:rPr>
              <w:t xml:space="preserve">-350 </w:t>
            </w:r>
          </w:p>
        </w:tc>
      </w:tr>
      <w:tr w:rsidR="006C059A" w:rsidRPr="006C059A" w14:paraId="40D2DAE8" w14:textId="77777777" w:rsidTr="00F43C3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657A33F" w14:textId="040558D4" w:rsidR="006C059A" w:rsidRPr="006C059A" w:rsidRDefault="006C059A" w:rsidP="006C059A">
            <w:pPr>
              <w:rPr>
                <w:color w:val="FF0000"/>
                <w:sz w:val="22"/>
                <w:szCs w:val="22"/>
              </w:rPr>
            </w:pPr>
            <w:r w:rsidRPr="006C059A">
              <w:rPr>
                <w:sz w:val="22"/>
                <w:szCs w:val="22"/>
              </w:rPr>
              <w:t xml:space="preserve">Repairs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6B1E66AD" w14:textId="58AE4782" w:rsidR="006C059A" w:rsidRPr="006C059A" w:rsidRDefault="006C059A" w:rsidP="006C059A">
            <w:pPr>
              <w:jc w:val="right"/>
              <w:rPr>
                <w:color w:val="FF0000"/>
                <w:sz w:val="22"/>
                <w:szCs w:val="22"/>
              </w:rPr>
            </w:pPr>
            <w:r w:rsidRPr="006C059A">
              <w:rPr>
                <w:sz w:val="22"/>
                <w:szCs w:val="22"/>
              </w:rPr>
              <w:t xml:space="preserve"> 6,847 </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0855DCEF" w14:textId="0B3089DD" w:rsidR="006C059A" w:rsidRPr="006C059A" w:rsidRDefault="006C059A" w:rsidP="006C059A">
            <w:pPr>
              <w:jc w:val="right"/>
              <w:rPr>
                <w:color w:val="FF0000"/>
                <w:sz w:val="22"/>
                <w:szCs w:val="22"/>
              </w:rPr>
            </w:pPr>
            <w:r w:rsidRPr="006C059A">
              <w:rPr>
                <w:sz w:val="22"/>
                <w:szCs w:val="22"/>
              </w:rPr>
              <w:t xml:space="preserve"> 7,860 </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61096775" w14:textId="1BF61572" w:rsidR="006C059A" w:rsidRPr="006C059A" w:rsidRDefault="006C059A" w:rsidP="006C059A">
            <w:pPr>
              <w:jc w:val="right"/>
              <w:rPr>
                <w:color w:val="FF0000"/>
                <w:sz w:val="22"/>
                <w:szCs w:val="22"/>
              </w:rPr>
            </w:pPr>
            <w:r w:rsidRPr="006C059A">
              <w:rPr>
                <w:sz w:val="22"/>
                <w:szCs w:val="22"/>
              </w:rPr>
              <w:t xml:space="preserve"> 1,013 </w:t>
            </w:r>
          </w:p>
        </w:tc>
      </w:tr>
      <w:tr w:rsidR="006C059A" w:rsidRPr="006C059A" w14:paraId="25FAD179" w14:textId="77777777" w:rsidTr="00F43C3A">
        <w:tc>
          <w:tcPr>
            <w:tcW w:w="297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424C33B" w14:textId="319B3122" w:rsidR="006C059A" w:rsidRPr="006C059A" w:rsidRDefault="006C059A" w:rsidP="006C059A">
            <w:pPr>
              <w:rPr>
                <w:b/>
                <w:bCs/>
                <w:color w:val="FF0000"/>
                <w:sz w:val="22"/>
                <w:szCs w:val="22"/>
              </w:rPr>
            </w:pPr>
            <w:r w:rsidRPr="006C059A">
              <w:rPr>
                <w:b/>
                <w:bCs/>
                <w:sz w:val="22"/>
                <w:szCs w:val="22"/>
              </w:rPr>
              <w:t xml:space="preserve">Total </w:t>
            </w:r>
          </w:p>
        </w:tc>
        <w:tc>
          <w:tcPr>
            <w:tcW w:w="184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41629D2E" w14:textId="2E7798E4" w:rsidR="006C059A" w:rsidRPr="006C059A" w:rsidRDefault="006C059A" w:rsidP="006C059A">
            <w:pPr>
              <w:jc w:val="right"/>
              <w:rPr>
                <w:b/>
                <w:bCs/>
                <w:color w:val="FF0000"/>
                <w:sz w:val="22"/>
                <w:szCs w:val="22"/>
              </w:rPr>
            </w:pPr>
            <w:r w:rsidRPr="006C059A">
              <w:rPr>
                <w:b/>
                <w:bCs/>
                <w:sz w:val="22"/>
                <w:szCs w:val="22"/>
              </w:rPr>
              <w:t xml:space="preserve"> 0 </w:t>
            </w:r>
          </w:p>
        </w:tc>
        <w:tc>
          <w:tcPr>
            <w:tcW w:w="1984"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7F34B32A" w14:textId="20EC2C18" w:rsidR="006C059A" w:rsidRPr="006C059A" w:rsidRDefault="006C059A" w:rsidP="006C059A">
            <w:pPr>
              <w:jc w:val="right"/>
              <w:rPr>
                <w:b/>
                <w:bCs/>
                <w:color w:val="FF0000"/>
                <w:sz w:val="22"/>
                <w:szCs w:val="22"/>
              </w:rPr>
            </w:pPr>
            <w:r w:rsidRPr="006C059A">
              <w:rPr>
                <w:b/>
                <w:bCs/>
                <w:sz w:val="22"/>
                <w:szCs w:val="22"/>
              </w:rPr>
              <w:t xml:space="preserve"> 596 </w:t>
            </w:r>
          </w:p>
        </w:tc>
        <w:tc>
          <w:tcPr>
            <w:tcW w:w="1701"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23CA6113" w14:textId="67C1DA59" w:rsidR="006C059A" w:rsidRPr="006C059A" w:rsidRDefault="006C059A" w:rsidP="006C059A">
            <w:pPr>
              <w:jc w:val="right"/>
              <w:rPr>
                <w:b/>
                <w:bCs/>
                <w:color w:val="FF0000"/>
                <w:sz w:val="22"/>
                <w:szCs w:val="22"/>
              </w:rPr>
            </w:pPr>
            <w:r w:rsidRPr="006C059A">
              <w:rPr>
                <w:b/>
                <w:bCs/>
                <w:sz w:val="22"/>
                <w:szCs w:val="22"/>
              </w:rPr>
              <w:t xml:space="preserve"> 596 </w:t>
            </w:r>
          </w:p>
        </w:tc>
      </w:tr>
    </w:tbl>
    <w:p w14:paraId="31C80B73" w14:textId="6A2EE792" w:rsidR="006C059A" w:rsidRDefault="006C059A">
      <w:pPr>
        <w:jc w:val="both"/>
        <w:rPr>
          <w:rFonts w:cs="Arial"/>
          <w:b/>
          <w:color w:val="FF0000"/>
          <w:szCs w:val="24"/>
        </w:rPr>
      </w:pPr>
    </w:p>
    <w:p w14:paraId="6773B910" w14:textId="77777777" w:rsidR="006C059A" w:rsidRPr="00B37833" w:rsidRDefault="006C059A" w:rsidP="006C059A">
      <w:pPr>
        <w:rPr>
          <w:rFonts w:ascii="Calibri" w:eastAsiaTheme="minorHAnsi" w:hAnsi="Calibri" w:cs="Calibri"/>
          <w:color w:val="FF0000"/>
          <w:sz w:val="22"/>
          <w:szCs w:val="22"/>
        </w:rPr>
      </w:pPr>
    </w:p>
    <w:p w14:paraId="4A2FF8DF" w14:textId="5BBB163E" w:rsidR="00546EA2" w:rsidRDefault="006C059A" w:rsidP="00546EA2">
      <w:pPr>
        <w:pStyle w:val="ListParagraph"/>
        <w:numPr>
          <w:ilvl w:val="0"/>
          <w:numId w:val="5"/>
        </w:numPr>
        <w:ind w:left="460" w:hanging="567"/>
        <w:jc w:val="both"/>
      </w:pPr>
      <w:r>
        <w:t xml:space="preserve">The explanation of the main variances </w:t>
      </w:r>
      <w:r w:rsidR="00452CAC">
        <w:t>is</w:t>
      </w:r>
      <w:r>
        <w:t xml:space="preserve"> set out as follows:</w:t>
      </w:r>
    </w:p>
    <w:p w14:paraId="5233A4ED" w14:textId="4F0F885F" w:rsidR="006C059A" w:rsidRDefault="006C059A" w:rsidP="006C059A">
      <w:pPr>
        <w:pStyle w:val="ListParagraph"/>
        <w:numPr>
          <w:ilvl w:val="1"/>
          <w:numId w:val="5"/>
        </w:numPr>
        <w:ind w:left="1134" w:hanging="567"/>
        <w:jc w:val="both"/>
      </w:pPr>
      <w:r w:rsidRPr="00546EA2">
        <w:rPr>
          <w:b/>
          <w:bCs/>
        </w:rPr>
        <w:lastRenderedPageBreak/>
        <w:t>Income</w:t>
      </w:r>
      <w:r>
        <w:t xml:space="preserve"> – net overspend £350k. this is due to reprofiling of the New Build programme resulting in fewer </w:t>
      </w:r>
      <w:r w:rsidR="00452CAC">
        <w:t>properties</w:t>
      </w:r>
      <w:r>
        <w:t xml:space="preserve"> being delivered in 2021-22 that originally budgeted for</w:t>
      </w:r>
    </w:p>
    <w:p w14:paraId="3A1DCEE6" w14:textId="77777777" w:rsidR="00546EA2" w:rsidRDefault="00546EA2" w:rsidP="00546EA2">
      <w:pPr>
        <w:pStyle w:val="ListParagraph"/>
        <w:ind w:left="1134"/>
        <w:jc w:val="both"/>
      </w:pPr>
    </w:p>
    <w:p w14:paraId="5217F05A" w14:textId="0CF8A6A5" w:rsidR="006C059A" w:rsidRDefault="006C059A" w:rsidP="006C059A">
      <w:pPr>
        <w:pStyle w:val="ListParagraph"/>
        <w:numPr>
          <w:ilvl w:val="1"/>
          <w:numId w:val="5"/>
        </w:numPr>
        <w:ind w:left="1134" w:hanging="567"/>
        <w:jc w:val="both"/>
      </w:pPr>
      <w:r w:rsidRPr="00546EA2">
        <w:rPr>
          <w:b/>
          <w:bCs/>
        </w:rPr>
        <w:t>Operating Expenditure</w:t>
      </w:r>
      <w:r>
        <w:t xml:space="preserve"> – net underspend £416k. This is due to high levels of staff vacancies and increased charges to capital projects</w:t>
      </w:r>
    </w:p>
    <w:p w14:paraId="6F3D19FD" w14:textId="77777777" w:rsidR="00546EA2" w:rsidRDefault="00546EA2" w:rsidP="00546EA2">
      <w:pPr>
        <w:pStyle w:val="ListParagraph"/>
        <w:ind w:left="1134"/>
        <w:jc w:val="both"/>
      </w:pPr>
    </w:p>
    <w:p w14:paraId="7DD6C06A" w14:textId="249727EC" w:rsidR="006C059A" w:rsidRDefault="006C059A" w:rsidP="006C059A">
      <w:pPr>
        <w:pStyle w:val="ListParagraph"/>
        <w:numPr>
          <w:ilvl w:val="1"/>
          <w:numId w:val="5"/>
        </w:numPr>
        <w:ind w:left="1134" w:hanging="567"/>
        <w:jc w:val="both"/>
      </w:pPr>
      <w:r w:rsidRPr="00546EA2">
        <w:rPr>
          <w:b/>
          <w:bCs/>
        </w:rPr>
        <w:t>Other Expenditure</w:t>
      </w:r>
      <w:r>
        <w:t xml:space="preserve"> – net underspend £350k. This is due to a reduction in capital charges of £750k due to reprofiling of the New Build programme partially offset by an increased depreciation charge of £400k as a result of a rise in house price inflation of 6%</w:t>
      </w:r>
    </w:p>
    <w:p w14:paraId="24AB6E01" w14:textId="77777777" w:rsidR="00546EA2" w:rsidRDefault="00546EA2" w:rsidP="00546EA2">
      <w:pPr>
        <w:pStyle w:val="ListParagraph"/>
        <w:ind w:left="1134"/>
        <w:jc w:val="both"/>
      </w:pPr>
    </w:p>
    <w:p w14:paraId="072E06C8" w14:textId="2CFF04C2" w:rsidR="00546EA2" w:rsidRDefault="006C059A" w:rsidP="00546EA2">
      <w:pPr>
        <w:pStyle w:val="ListParagraph"/>
        <w:numPr>
          <w:ilvl w:val="1"/>
          <w:numId w:val="5"/>
        </w:numPr>
        <w:ind w:left="1134" w:hanging="567"/>
        <w:jc w:val="both"/>
      </w:pPr>
      <w:r w:rsidRPr="00546EA2">
        <w:rPr>
          <w:b/>
          <w:bCs/>
        </w:rPr>
        <w:t>Repairs Expenditure</w:t>
      </w:r>
      <w:r>
        <w:t xml:space="preserve"> – net overspend £1.013m. This is due to a number of factors that reflect exceptional items and essential health &amp; safety works that were required in 2021-22 to ensure that Harrow is legally compliant with Housing Regulations.</w:t>
      </w:r>
      <w:r w:rsidR="00546EA2">
        <w:t xml:space="preserve"> These are set out in more detail at Table 1</w:t>
      </w:r>
      <w:r w:rsidR="00C920C9">
        <w:t>2</w:t>
      </w:r>
      <w:r w:rsidR="00546EA2">
        <w:t>.</w:t>
      </w:r>
    </w:p>
    <w:p w14:paraId="0BC6CA67" w14:textId="77777777" w:rsidR="00546EA2" w:rsidRPr="00546EA2" w:rsidRDefault="00546EA2" w:rsidP="00546EA2">
      <w:pPr>
        <w:pStyle w:val="ListParagraph"/>
        <w:rPr>
          <w:rFonts w:cs="Arial"/>
          <w:b/>
          <w:szCs w:val="24"/>
          <w:u w:val="single"/>
        </w:rPr>
      </w:pPr>
    </w:p>
    <w:p w14:paraId="7269D756" w14:textId="4E6646D7" w:rsidR="00546EA2" w:rsidRPr="00546EA2" w:rsidRDefault="00546EA2" w:rsidP="00546EA2">
      <w:pPr>
        <w:jc w:val="both"/>
      </w:pPr>
      <w:r w:rsidRPr="00546EA2">
        <w:rPr>
          <w:rFonts w:cs="Arial"/>
          <w:b/>
          <w:szCs w:val="24"/>
          <w:u w:val="single"/>
        </w:rPr>
        <w:t>Table 1</w:t>
      </w:r>
      <w:r w:rsidR="00C920C9">
        <w:rPr>
          <w:rFonts w:cs="Arial"/>
          <w:b/>
          <w:szCs w:val="24"/>
          <w:u w:val="single"/>
        </w:rPr>
        <w:t>2</w:t>
      </w:r>
      <w:r w:rsidRPr="00546EA2">
        <w:rPr>
          <w:rFonts w:cs="Arial"/>
          <w:b/>
          <w:szCs w:val="24"/>
          <w:u w:val="single"/>
        </w:rPr>
        <w:t xml:space="preserve">: </w:t>
      </w:r>
      <w:r>
        <w:rPr>
          <w:rFonts w:cs="Arial"/>
          <w:b/>
          <w:szCs w:val="24"/>
          <w:u w:val="single"/>
        </w:rPr>
        <w:t xml:space="preserve">Analysis of HRA Repairs </w:t>
      </w:r>
      <w:r w:rsidR="00452CAC">
        <w:rPr>
          <w:rFonts w:cs="Arial"/>
          <w:b/>
          <w:szCs w:val="24"/>
          <w:u w:val="single"/>
        </w:rPr>
        <w:t>Expenditure</w:t>
      </w:r>
      <w:r>
        <w:rPr>
          <w:rFonts w:cs="Arial"/>
          <w:b/>
          <w:szCs w:val="24"/>
          <w:u w:val="single"/>
        </w:rPr>
        <w:t xml:space="preserve"> Variance </w:t>
      </w:r>
    </w:p>
    <w:p w14:paraId="14742510" w14:textId="77777777" w:rsidR="00546EA2" w:rsidRPr="006C059A" w:rsidRDefault="00546EA2" w:rsidP="00546EA2">
      <w:pPr>
        <w:jc w:val="both"/>
      </w:pPr>
    </w:p>
    <w:tbl>
      <w:tblPr>
        <w:tblStyle w:val="TableGrid"/>
        <w:tblpPr w:leftFromText="180" w:rightFromText="180" w:vertAnchor="text" w:horzAnchor="margin" w:tblpY="169"/>
        <w:tblW w:w="9327" w:type="dxa"/>
        <w:tblLook w:val="04A0" w:firstRow="1" w:lastRow="0" w:firstColumn="1" w:lastColumn="0" w:noHBand="0" w:noVBand="1"/>
      </w:tblPr>
      <w:tblGrid>
        <w:gridCol w:w="8508"/>
        <w:gridCol w:w="819"/>
      </w:tblGrid>
      <w:tr w:rsidR="00546EA2" w:rsidRPr="00546EA2" w14:paraId="31AEBA14" w14:textId="77777777" w:rsidTr="00546EA2">
        <w:tc>
          <w:tcPr>
            <w:tcW w:w="8508" w:type="dxa"/>
          </w:tcPr>
          <w:p w14:paraId="6CE8FCD6" w14:textId="78078B12" w:rsidR="00546EA2" w:rsidRPr="00546EA2" w:rsidRDefault="00546EA2" w:rsidP="00546EA2">
            <w:pPr>
              <w:tabs>
                <w:tab w:val="left" w:pos="9639"/>
              </w:tabs>
              <w:ind w:right="2"/>
              <w:rPr>
                <w:rFonts w:cs="Arial"/>
                <w:b/>
                <w:bCs/>
                <w:sz w:val="22"/>
                <w:szCs w:val="22"/>
              </w:rPr>
            </w:pPr>
            <w:r>
              <w:rPr>
                <w:rFonts w:cs="Arial"/>
                <w:b/>
                <w:bCs/>
                <w:sz w:val="22"/>
                <w:szCs w:val="22"/>
              </w:rPr>
              <w:t>Reason for Variance</w:t>
            </w:r>
          </w:p>
        </w:tc>
        <w:tc>
          <w:tcPr>
            <w:tcW w:w="819" w:type="dxa"/>
          </w:tcPr>
          <w:p w14:paraId="41388E0F" w14:textId="77777777" w:rsidR="00546EA2" w:rsidRPr="00546EA2" w:rsidRDefault="00546EA2" w:rsidP="00546EA2">
            <w:pPr>
              <w:tabs>
                <w:tab w:val="left" w:pos="9639"/>
              </w:tabs>
              <w:ind w:right="2"/>
              <w:jc w:val="both"/>
              <w:rPr>
                <w:rFonts w:cs="Arial"/>
                <w:b/>
                <w:bCs/>
                <w:sz w:val="22"/>
                <w:szCs w:val="22"/>
              </w:rPr>
            </w:pPr>
            <w:r w:rsidRPr="00546EA2">
              <w:rPr>
                <w:rFonts w:cs="Arial"/>
                <w:b/>
                <w:bCs/>
                <w:sz w:val="22"/>
                <w:szCs w:val="22"/>
              </w:rPr>
              <w:t>£’000</w:t>
            </w:r>
          </w:p>
        </w:tc>
      </w:tr>
      <w:tr w:rsidR="00546EA2" w:rsidRPr="00546EA2" w14:paraId="1473953F" w14:textId="77777777" w:rsidTr="00546EA2">
        <w:tc>
          <w:tcPr>
            <w:tcW w:w="8508" w:type="dxa"/>
          </w:tcPr>
          <w:p w14:paraId="172568EF" w14:textId="3F5FF48A" w:rsidR="00546EA2" w:rsidRPr="00546EA2" w:rsidRDefault="00546EA2" w:rsidP="00546EA2">
            <w:pPr>
              <w:tabs>
                <w:tab w:val="left" w:pos="9639"/>
              </w:tabs>
              <w:ind w:right="2"/>
              <w:jc w:val="both"/>
              <w:rPr>
                <w:rFonts w:cs="Arial"/>
                <w:sz w:val="22"/>
                <w:szCs w:val="22"/>
              </w:rPr>
            </w:pPr>
            <w:r w:rsidRPr="00546EA2">
              <w:rPr>
                <w:rFonts w:cs="Arial"/>
                <w:sz w:val="22"/>
                <w:szCs w:val="22"/>
              </w:rPr>
              <w:t xml:space="preserve">Replacements for old non-compliant </w:t>
            </w:r>
            <w:r>
              <w:rPr>
                <w:rFonts w:cs="Arial"/>
                <w:sz w:val="22"/>
                <w:szCs w:val="22"/>
              </w:rPr>
              <w:t>b</w:t>
            </w:r>
            <w:r w:rsidRPr="00546EA2">
              <w:rPr>
                <w:rFonts w:cs="Arial"/>
                <w:sz w:val="22"/>
                <w:szCs w:val="22"/>
              </w:rPr>
              <w:t xml:space="preserve">in </w:t>
            </w:r>
            <w:r>
              <w:rPr>
                <w:rFonts w:cs="Arial"/>
                <w:sz w:val="22"/>
                <w:szCs w:val="22"/>
              </w:rPr>
              <w:t>c</w:t>
            </w:r>
            <w:r w:rsidRPr="00546EA2">
              <w:rPr>
                <w:rFonts w:cs="Arial"/>
                <w:sz w:val="22"/>
                <w:szCs w:val="22"/>
              </w:rPr>
              <w:t>hutes</w:t>
            </w:r>
          </w:p>
        </w:tc>
        <w:tc>
          <w:tcPr>
            <w:tcW w:w="819" w:type="dxa"/>
            <w:vAlign w:val="bottom"/>
          </w:tcPr>
          <w:p w14:paraId="1137603C"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130</w:t>
            </w:r>
          </w:p>
        </w:tc>
      </w:tr>
      <w:tr w:rsidR="00546EA2" w:rsidRPr="00546EA2" w14:paraId="396C5CB7" w14:textId="77777777" w:rsidTr="00546EA2">
        <w:tc>
          <w:tcPr>
            <w:tcW w:w="8508" w:type="dxa"/>
          </w:tcPr>
          <w:p w14:paraId="31315540"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Addition staff to provide support hand over of new gas contractor, project support for disrepair/ essential structural works and lease hold advice and validation</w:t>
            </w:r>
          </w:p>
        </w:tc>
        <w:tc>
          <w:tcPr>
            <w:tcW w:w="819" w:type="dxa"/>
            <w:vAlign w:val="bottom"/>
          </w:tcPr>
          <w:p w14:paraId="4CA0370A"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163</w:t>
            </w:r>
          </w:p>
        </w:tc>
      </w:tr>
      <w:tr w:rsidR="00546EA2" w:rsidRPr="00546EA2" w14:paraId="4DCEE044" w14:textId="77777777" w:rsidTr="00546EA2">
        <w:tc>
          <w:tcPr>
            <w:tcW w:w="8508" w:type="dxa"/>
          </w:tcPr>
          <w:p w14:paraId="0D2DA968"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Increase in demand for expenditure on Aids and Adaptation properties</w:t>
            </w:r>
          </w:p>
        </w:tc>
        <w:tc>
          <w:tcPr>
            <w:tcW w:w="819" w:type="dxa"/>
            <w:vAlign w:val="bottom"/>
          </w:tcPr>
          <w:p w14:paraId="2BC8B4DA"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190</w:t>
            </w:r>
          </w:p>
        </w:tc>
      </w:tr>
      <w:tr w:rsidR="00546EA2" w:rsidRPr="00546EA2" w14:paraId="7DD1290C" w14:textId="77777777" w:rsidTr="00546EA2">
        <w:tc>
          <w:tcPr>
            <w:tcW w:w="8508" w:type="dxa"/>
          </w:tcPr>
          <w:p w14:paraId="147E7F13"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Specialist Contractor report to survey properties for dampness/condensation/mould</w:t>
            </w:r>
          </w:p>
        </w:tc>
        <w:tc>
          <w:tcPr>
            <w:tcW w:w="819" w:type="dxa"/>
            <w:vAlign w:val="bottom"/>
          </w:tcPr>
          <w:p w14:paraId="53DDC4BB"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190</w:t>
            </w:r>
          </w:p>
        </w:tc>
      </w:tr>
      <w:tr w:rsidR="00546EA2" w:rsidRPr="00546EA2" w14:paraId="5F9607CB" w14:textId="77777777" w:rsidTr="00546EA2">
        <w:tc>
          <w:tcPr>
            <w:tcW w:w="8508" w:type="dxa"/>
          </w:tcPr>
          <w:p w14:paraId="5C20BFDF"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Repairs to aging communal boilers</w:t>
            </w:r>
          </w:p>
        </w:tc>
        <w:tc>
          <w:tcPr>
            <w:tcW w:w="819" w:type="dxa"/>
            <w:vAlign w:val="bottom"/>
          </w:tcPr>
          <w:p w14:paraId="6F6DBA6E"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90</w:t>
            </w:r>
          </w:p>
        </w:tc>
      </w:tr>
      <w:tr w:rsidR="00546EA2" w:rsidRPr="00546EA2" w14:paraId="580084F7" w14:textId="77777777" w:rsidTr="00546EA2">
        <w:tc>
          <w:tcPr>
            <w:tcW w:w="8508" w:type="dxa"/>
          </w:tcPr>
          <w:p w14:paraId="19B5DE13"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Increase in legal fees for disrepair case</w:t>
            </w:r>
          </w:p>
        </w:tc>
        <w:tc>
          <w:tcPr>
            <w:tcW w:w="819" w:type="dxa"/>
            <w:vAlign w:val="bottom"/>
          </w:tcPr>
          <w:p w14:paraId="711544E2"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50</w:t>
            </w:r>
          </w:p>
        </w:tc>
      </w:tr>
      <w:tr w:rsidR="00546EA2" w:rsidRPr="00546EA2" w14:paraId="61FDACEC" w14:textId="77777777" w:rsidTr="00546EA2">
        <w:tc>
          <w:tcPr>
            <w:tcW w:w="8508" w:type="dxa"/>
          </w:tcPr>
          <w:p w14:paraId="26F9E31B"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 xml:space="preserve">Storm damage for fencing – not covered by insurance </w:t>
            </w:r>
          </w:p>
        </w:tc>
        <w:tc>
          <w:tcPr>
            <w:tcW w:w="819" w:type="dxa"/>
            <w:vAlign w:val="bottom"/>
          </w:tcPr>
          <w:p w14:paraId="5B8A4173"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122</w:t>
            </w:r>
          </w:p>
        </w:tc>
      </w:tr>
      <w:tr w:rsidR="00546EA2" w:rsidRPr="00546EA2" w14:paraId="193F5947" w14:textId="77777777" w:rsidTr="00546EA2">
        <w:tc>
          <w:tcPr>
            <w:tcW w:w="8508" w:type="dxa"/>
          </w:tcPr>
          <w:p w14:paraId="5BDFB2E6" w14:textId="77777777" w:rsidR="00546EA2" w:rsidRPr="00546EA2" w:rsidRDefault="00546EA2" w:rsidP="00546EA2">
            <w:pPr>
              <w:tabs>
                <w:tab w:val="left" w:pos="9639"/>
              </w:tabs>
              <w:ind w:right="2"/>
              <w:jc w:val="both"/>
              <w:rPr>
                <w:rFonts w:cs="Arial"/>
                <w:sz w:val="22"/>
                <w:szCs w:val="22"/>
              </w:rPr>
            </w:pPr>
            <w:r w:rsidRPr="00546EA2">
              <w:rPr>
                <w:rFonts w:cs="Arial"/>
                <w:sz w:val="22"/>
                <w:szCs w:val="22"/>
              </w:rPr>
              <w:t xml:space="preserve">Other variances (net) </w:t>
            </w:r>
          </w:p>
        </w:tc>
        <w:tc>
          <w:tcPr>
            <w:tcW w:w="819" w:type="dxa"/>
            <w:vAlign w:val="bottom"/>
          </w:tcPr>
          <w:p w14:paraId="2FDF013D" w14:textId="77777777" w:rsidR="00546EA2" w:rsidRPr="00546EA2" w:rsidRDefault="00546EA2" w:rsidP="00546EA2">
            <w:pPr>
              <w:tabs>
                <w:tab w:val="left" w:pos="9639"/>
              </w:tabs>
              <w:ind w:right="2"/>
              <w:jc w:val="right"/>
              <w:rPr>
                <w:rFonts w:cs="Arial"/>
                <w:sz w:val="22"/>
                <w:szCs w:val="22"/>
              </w:rPr>
            </w:pPr>
            <w:r w:rsidRPr="00546EA2">
              <w:rPr>
                <w:rFonts w:cs="Arial"/>
                <w:sz w:val="22"/>
                <w:szCs w:val="22"/>
              </w:rPr>
              <w:t xml:space="preserve"> 78</w:t>
            </w:r>
          </w:p>
        </w:tc>
      </w:tr>
      <w:tr w:rsidR="00546EA2" w:rsidRPr="00546EA2" w14:paraId="08A6CDF1" w14:textId="77777777" w:rsidTr="00546EA2">
        <w:tc>
          <w:tcPr>
            <w:tcW w:w="8508" w:type="dxa"/>
          </w:tcPr>
          <w:p w14:paraId="2E50C3A6" w14:textId="7E38F69B" w:rsidR="00546EA2" w:rsidRPr="00546EA2" w:rsidRDefault="00546EA2" w:rsidP="00546EA2">
            <w:pPr>
              <w:tabs>
                <w:tab w:val="left" w:pos="9639"/>
              </w:tabs>
              <w:ind w:right="2"/>
              <w:rPr>
                <w:rFonts w:cs="Arial"/>
                <w:b/>
                <w:bCs/>
                <w:sz w:val="22"/>
                <w:szCs w:val="22"/>
              </w:rPr>
            </w:pPr>
            <w:r w:rsidRPr="00546EA2">
              <w:rPr>
                <w:rFonts w:cs="Arial"/>
                <w:b/>
                <w:bCs/>
                <w:sz w:val="22"/>
                <w:szCs w:val="22"/>
              </w:rPr>
              <w:t xml:space="preserve">Total </w:t>
            </w:r>
          </w:p>
        </w:tc>
        <w:tc>
          <w:tcPr>
            <w:tcW w:w="819" w:type="dxa"/>
          </w:tcPr>
          <w:p w14:paraId="6B6E7C63" w14:textId="77777777" w:rsidR="00546EA2" w:rsidRPr="00546EA2" w:rsidRDefault="00546EA2" w:rsidP="00546EA2">
            <w:pPr>
              <w:tabs>
                <w:tab w:val="left" w:pos="9639"/>
              </w:tabs>
              <w:ind w:right="2"/>
              <w:jc w:val="right"/>
              <w:rPr>
                <w:rFonts w:cs="Arial"/>
                <w:b/>
                <w:bCs/>
                <w:sz w:val="22"/>
                <w:szCs w:val="22"/>
              </w:rPr>
            </w:pPr>
            <w:r w:rsidRPr="00546EA2">
              <w:rPr>
                <w:rFonts w:cs="Arial"/>
                <w:b/>
                <w:bCs/>
                <w:sz w:val="22"/>
                <w:szCs w:val="22"/>
              </w:rPr>
              <w:t>1,013</w:t>
            </w:r>
          </w:p>
        </w:tc>
      </w:tr>
    </w:tbl>
    <w:p w14:paraId="4C417D4E" w14:textId="77777777" w:rsidR="00546EA2" w:rsidRPr="006C059A" w:rsidRDefault="00546EA2">
      <w:pPr>
        <w:jc w:val="both"/>
        <w:rPr>
          <w:rFonts w:cs="Arial"/>
          <w:b/>
          <w:color w:val="FF0000"/>
          <w:szCs w:val="24"/>
        </w:rPr>
      </w:pPr>
      <w:r>
        <w:rPr>
          <w:rFonts w:cs="Arial"/>
          <w:b/>
          <w:color w:val="FF0000"/>
          <w:szCs w:val="24"/>
        </w:rPr>
        <w:tab/>
      </w:r>
    </w:p>
    <w:p w14:paraId="2476AE92" w14:textId="17B9C183" w:rsidR="006C059A" w:rsidRPr="006C059A" w:rsidRDefault="006C059A">
      <w:pPr>
        <w:jc w:val="both"/>
        <w:rPr>
          <w:rFonts w:cs="Arial"/>
          <w:b/>
          <w:color w:val="FF0000"/>
          <w:szCs w:val="24"/>
        </w:rPr>
      </w:pPr>
    </w:p>
    <w:p w14:paraId="6B97CDED" w14:textId="77777777" w:rsidR="00A556C0" w:rsidRPr="00C8102B" w:rsidRDefault="00C57DF6" w:rsidP="007A4D31">
      <w:pPr>
        <w:pStyle w:val="ListParagraph"/>
        <w:numPr>
          <w:ilvl w:val="0"/>
          <w:numId w:val="3"/>
        </w:numPr>
        <w:tabs>
          <w:tab w:val="left" w:pos="567"/>
        </w:tabs>
        <w:ind w:left="567" w:hanging="567"/>
        <w:jc w:val="both"/>
        <w:rPr>
          <w:rFonts w:cs="Arial"/>
          <w:b/>
          <w:szCs w:val="24"/>
          <w:u w:val="single"/>
        </w:rPr>
      </w:pPr>
      <w:r w:rsidRPr="00C8102B">
        <w:rPr>
          <w:rFonts w:cs="Arial"/>
          <w:b/>
          <w:szCs w:val="24"/>
        </w:rPr>
        <w:t xml:space="preserve"> </w:t>
      </w:r>
      <w:r w:rsidRPr="00C8102B">
        <w:rPr>
          <w:rFonts w:cs="Arial"/>
          <w:b/>
          <w:szCs w:val="24"/>
          <w:u w:val="single"/>
        </w:rPr>
        <w:t>C</w:t>
      </w:r>
      <w:r w:rsidR="00603BA2" w:rsidRPr="00C8102B">
        <w:rPr>
          <w:rFonts w:cs="Arial"/>
          <w:b/>
          <w:szCs w:val="24"/>
          <w:u w:val="single"/>
        </w:rPr>
        <w:t>APITAL PROGRAMME</w:t>
      </w:r>
    </w:p>
    <w:p w14:paraId="2BBA28AC" w14:textId="77777777" w:rsidR="00A556C0" w:rsidRPr="00C8102B" w:rsidRDefault="00A556C0" w:rsidP="00A556C0">
      <w:pPr>
        <w:tabs>
          <w:tab w:val="left" w:pos="567"/>
        </w:tabs>
        <w:jc w:val="both"/>
        <w:rPr>
          <w:rFonts w:cs="Arial"/>
          <w:b/>
          <w:szCs w:val="24"/>
          <w:u w:val="single"/>
        </w:rPr>
      </w:pPr>
    </w:p>
    <w:p w14:paraId="1F432B6A" w14:textId="50BD6932" w:rsidR="002D1874" w:rsidRPr="00C8102B" w:rsidRDefault="001C512F" w:rsidP="007A4D31">
      <w:pPr>
        <w:pStyle w:val="ListParagraph"/>
        <w:numPr>
          <w:ilvl w:val="0"/>
          <w:numId w:val="3"/>
        </w:numPr>
        <w:tabs>
          <w:tab w:val="left" w:pos="567"/>
        </w:tabs>
        <w:ind w:left="567" w:hanging="567"/>
        <w:jc w:val="both"/>
        <w:rPr>
          <w:rFonts w:cs="Arial"/>
          <w:b/>
          <w:szCs w:val="24"/>
          <w:u w:val="single"/>
        </w:rPr>
      </w:pPr>
      <w:r w:rsidRPr="00C8102B">
        <w:rPr>
          <w:rFonts w:cs="Arial"/>
          <w:szCs w:val="24"/>
        </w:rPr>
        <w:t xml:space="preserve">The </w:t>
      </w:r>
      <w:r w:rsidR="00D04F65" w:rsidRPr="00C8102B">
        <w:rPr>
          <w:rFonts w:cs="Arial"/>
          <w:szCs w:val="24"/>
        </w:rPr>
        <w:t xml:space="preserve">revised capital budget for </w:t>
      </w:r>
      <w:r w:rsidR="00C8102B" w:rsidRPr="00C8102B">
        <w:rPr>
          <w:rFonts w:cs="Arial"/>
          <w:szCs w:val="24"/>
        </w:rPr>
        <w:t xml:space="preserve">2021-22 </w:t>
      </w:r>
      <w:r w:rsidR="00D04F65" w:rsidRPr="00C8102B">
        <w:rPr>
          <w:rFonts w:cs="Arial"/>
          <w:szCs w:val="24"/>
        </w:rPr>
        <w:t xml:space="preserve">is </w:t>
      </w:r>
      <w:r w:rsidR="00BC0021" w:rsidRPr="00C8102B">
        <w:rPr>
          <w:rFonts w:cs="Arial"/>
          <w:bCs/>
          <w:szCs w:val="24"/>
        </w:rPr>
        <w:t>£</w:t>
      </w:r>
      <w:r w:rsidR="00C8102B" w:rsidRPr="00C8102B">
        <w:rPr>
          <w:rFonts w:cs="Arial"/>
          <w:bCs/>
          <w:szCs w:val="24"/>
        </w:rPr>
        <w:t>216.520m</w:t>
      </w:r>
      <w:r w:rsidR="00BC0021" w:rsidRPr="00C8102B">
        <w:rPr>
          <w:rFonts w:cs="Arial"/>
          <w:bCs/>
          <w:szCs w:val="24"/>
        </w:rPr>
        <w:t xml:space="preserve"> </w:t>
      </w:r>
      <w:r w:rsidR="00D62AA2" w:rsidRPr="00C8102B">
        <w:rPr>
          <w:rFonts w:cs="Arial"/>
          <w:bCs/>
          <w:szCs w:val="24"/>
        </w:rPr>
        <w:t>as set out at Table</w:t>
      </w:r>
      <w:r w:rsidR="00C920C9">
        <w:rPr>
          <w:rFonts w:cs="Arial"/>
          <w:bCs/>
          <w:szCs w:val="24"/>
        </w:rPr>
        <w:t xml:space="preserve"> 13</w:t>
      </w:r>
      <w:r w:rsidR="001546BF" w:rsidRPr="00C8102B">
        <w:rPr>
          <w:rFonts w:cs="Arial"/>
          <w:bCs/>
          <w:szCs w:val="24"/>
        </w:rPr>
        <w:t>:</w:t>
      </w:r>
    </w:p>
    <w:p w14:paraId="1FE13DB1" w14:textId="77777777" w:rsidR="00C53E8A" w:rsidRPr="00C8102B" w:rsidRDefault="00C53E8A" w:rsidP="00D62AA2">
      <w:pPr>
        <w:ind w:left="567"/>
        <w:rPr>
          <w:rFonts w:cs="Arial"/>
          <w:b/>
          <w:szCs w:val="24"/>
        </w:rPr>
      </w:pPr>
    </w:p>
    <w:p w14:paraId="6E44DA04" w14:textId="487D82E3" w:rsidR="00255B51" w:rsidRDefault="00255B51">
      <w:pPr>
        <w:rPr>
          <w:rFonts w:cs="Arial"/>
          <w:b/>
          <w:szCs w:val="24"/>
          <w:u w:val="single"/>
        </w:rPr>
      </w:pPr>
      <w:r>
        <w:rPr>
          <w:rFonts w:cs="Arial"/>
          <w:b/>
          <w:szCs w:val="24"/>
          <w:u w:val="single"/>
        </w:rPr>
        <w:br w:type="page"/>
      </w:r>
    </w:p>
    <w:p w14:paraId="3358ADF4" w14:textId="0A541EC7" w:rsidR="00923DC1" w:rsidRPr="00C8102B" w:rsidRDefault="00D62AA2" w:rsidP="00923DC1">
      <w:pPr>
        <w:rPr>
          <w:rFonts w:cs="Arial"/>
          <w:b/>
          <w:szCs w:val="24"/>
          <w:u w:val="single"/>
        </w:rPr>
      </w:pPr>
      <w:r w:rsidRPr="00C8102B">
        <w:rPr>
          <w:rFonts w:cs="Arial"/>
          <w:b/>
          <w:szCs w:val="24"/>
          <w:u w:val="single"/>
        </w:rPr>
        <w:lastRenderedPageBreak/>
        <w:t xml:space="preserve">Table </w:t>
      </w:r>
      <w:r w:rsidR="006C059A">
        <w:rPr>
          <w:rFonts w:cs="Arial"/>
          <w:b/>
          <w:szCs w:val="24"/>
          <w:u w:val="single"/>
        </w:rPr>
        <w:t>1</w:t>
      </w:r>
      <w:r w:rsidR="00C920C9">
        <w:rPr>
          <w:rFonts w:cs="Arial"/>
          <w:b/>
          <w:szCs w:val="24"/>
          <w:u w:val="single"/>
        </w:rPr>
        <w:t>3</w:t>
      </w:r>
      <w:r w:rsidR="006A200B" w:rsidRPr="00C8102B">
        <w:rPr>
          <w:rFonts w:cs="Arial"/>
          <w:b/>
          <w:szCs w:val="24"/>
          <w:u w:val="single"/>
        </w:rPr>
        <w:t xml:space="preserve">: Capital Programme </w:t>
      </w:r>
      <w:r w:rsidR="00923DC1" w:rsidRPr="00C8102B">
        <w:rPr>
          <w:rFonts w:cs="Arial"/>
          <w:b/>
          <w:szCs w:val="24"/>
          <w:u w:val="single"/>
        </w:rPr>
        <w:t>202</w:t>
      </w:r>
      <w:r w:rsidR="00C8102B" w:rsidRPr="00C8102B">
        <w:rPr>
          <w:rFonts w:cs="Arial"/>
          <w:b/>
          <w:szCs w:val="24"/>
          <w:u w:val="single"/>
        </w:rPr>
        <w:t>1-22</w:t>
      </w:r>
    </w:p>
    <w:p w14:paraId="2936A4C0" w14:textId="77777777" w:rsidR="00923DC1" w:rsidRPr="00B37833" w:rsidRDefault="00923DC1" w:rsidP="00AA1332">
      <w:pPr>
        <w:ind w:hanging="567"/>
        <w:rPr>
          <w:rFonts w:cs="Arial"/>
          <w:b/>
          <w:color w:val="FF0000"/>
          <w:szCs w:val="24"/>
        </w:rPr>
      </w:pPr>
    </w:p>
    <w:p w14:paraId="698A02CB" w14:textId="7235A44E" w:rsidR="00C8102B" w:rsidRDefault="00923DC1" w:rsidP="00AA1332">
      <w:pPr>
        <w:ind w:hanging="567"/>
        <w:rPr>
          <w:rFonts w:cs="Arial"/>
          <w:b/>
          <w:color w:val="FF0000"/>
          <w:szCs w:val="24"/>
        </w:rPr>
      </w:pPr>
      <w:r w:rsidRPr="00B37833">
        <w:rPr>
          <w:rFonts w:cs="Arial"/>
          <w:b/>
          <w:color w:val="FF0000"/>
          <w:szCs w:val="24"/>
        </w:rPr>
        <w:tab/>
      </w:r>
      <w:r w:rsidR="00C8102B" w:rsidRPr="00C8102B">
        <w:rPr>
          <w:noProof/>
        </w:rPr>
        <w:drawing>
          <wp:inline distT="0" distB="0" distL="0" distR="0" wp14:anchorId="2C55F68B" wp14:editId="3FB62381">
            <wp:extent cx="5850890" cy="4375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50890" cy="4375150"/>
                    </a:xfrm>
                    <a:prstGeom prst="rect">
                      <a:avLst/>
                    </a:prstGeom>
                    <a:noFill/>
                    <a:ln>
                      <a:noFill/>
                    </a:ln>
                  </pic:spPr>
                </pic:pic>
              </a:graphicData>
            </a:graphic>
          </wp:inline>
        </w:drawing>
      </w:r>
    </w:p>
    <w:p w14:paraId="2938FDC3" w14:textId="77777777" w:rsidR="00C8102B" w:rsidRDefault="00C8102B" w:rsidP="00AA1332">
      <w:pPr>
        <w:ind w:hanging="567"/>
        <w:rPr>
          <w:rFonts w:cs="Arial"/>
          <w:b/>
          <w:color w:val="FF0000"/>
          <w:szCs w:val="24"/>
        </w:rPr>
      </w:pPr>
    </w:p>
    <w:p w14:paraId="2AD31DC3" w14:textId="35F2F564" w:rsidR="002E1E8D" w:rsidRPr="00C8102B" w:rsidRDefault="00AF770A" w:rsidP="007A4D31">
      <w:pPr>
        <w:pStyle w:val="ListParagraph"/>
        <w:numPr>
          <w:ilvl w:val="0"/>
          <w:numId w:val="3"/>
        </w:numPr>
        <w:tabs>
          <w:tab w:val="left" w:pos="567"/>
        </w:tabs>
        <w:ind w:left="567" w:right="140" w:hanging="567"/>
        <w:contextualSpacing/>
        <w:jc w:val="both"/>
        <w:rPr>
          <w:rFonts w:cs="Arial"/>
          <w:szCs w:val="24"/>
        </w:rPr>
      </w:pPr>
      <w:r w:rsidRPr="00C8102B">
        <w:rPr>
          <w:rFonts w:cs="Arial"/>
          <w:bCs/>
          <w:szCs w:val="24"/>
        </w:rPr>
        <w:t xml:space="preserve">The </w:t>
      </w:r>
      <w:r w:rsidR="001C512F" w:rsidRPr="00C8102B">
        <w:rPr>
          <w:rFonts w:cs="Arial"/>
          <w:bCs/>
          <w:szCs w:val="24"/>
        </w:rPr>
        <w:t>final</w:t>
      </w:r>
      <w:r w:rsidRPr="00C8102B">
        <w:rPr>
          <w:rFonts w:cs="Arial"/>
          <w:bCs/>
          <w:szCs w:val="24"/>
        </w:rPr>
        <w:t xml:space="preserve"> spend </w:t>
      </w:r>
      <w:r w:rsidR="001C512F" w:rsidRPr="00C8102B">
        <w:rPr>
          <w:rFonts w:cs="Arial"/>
          <w:bCs/>
          <w:szCs w:val="24"/>
        </w:rPr>
        <w:t>is £</w:t>
      </w:r>
      <w:r w:rsidR="00C8102B" w:rsidRPr="00C8102B">
        <w:rPr>
          <w:rFonts w:cs="Arial"/>
          <w:bCs/>
          <w:szCs w:val="24"/>
        </w:rPr>
        <w:t>74.646m</w:t>
      </w:r>
      <w:r w:rsidRPr="00C8102B">
        <w:rPr>
          <w:rFonts w:cs="Arial"/>
          <w:bCs/>
          <w:szCs w:val="24"/>
        </w:rPr>
        <w:t xml:space="preserve">, </w:t>
      </w:r>
      <w:r w:rsidR="00C8102B" w:rsidRPr="00C8102B">
        <w:rPr>
          <w:rFonts w:cs="Arial"/>
          <w:bCs/>
          <w:szCs w:val="24"/>
        </w:rPr>
        <w:t>35</w:t>
      </w:r>
      <w:r w:rsidRPr="00C8102B">
        <w:rPr>
          <w:rFonts w:cs="Arial"/>
          <w:bCs/>
          <w:szCs w:val="24"/>
        </w:rPr>
        <w:t xml:space="preserve">% of the total </w:t>
      </w:r>
      <w:r w:rsidR="001546BF" w:rsidRPr="00C8102B">
        <w:rPr>
          <w:rFonts w:cs="Arial"/>
          <w:bCs/>
          <w:szCs w:val="24"/>
        </w:rPr>
        <w:t>C</w:t>
      </w:r>
      <w:r w:rsidRPr="00C8102B">
        <w:rPr>
          <w:rFonts w:cs="Arial"/>
          <w:bCs/>
          <w:szCs w:val="24"/>
        </w:rPr>
        <w:t xml:space="preserve">apital </w:t>
      </w:r>
      <w:r w:rsidR="001546BF" w:rsidRPr="00C8102B">
        <w:rPr>
          <w:rFonts w:cs="Arial"/>
          <w:bCs/>
          <w:szCs w:val="24"/>
        </w:rPr>
        <w:t>P</w:t>
      </w:r>
      <w:r w:rsidRPr="00C8102B">
        <w:rPr>
          <w:rFonts w:cs="Arial"/>
          <w:bCs/>
          <w:szCs w:val="24"/>
        </w:rPr>
        <w:t>rogramme</w:t>
      </w:r>
      <w:r w:rsidR="0018254B" w:rsidRPr="00C8102B">
        <w:rPr>
          <w:rFonts w:cs="Arial"/>
          <w:bCs/>
          <w:szCs w:val="24"/>
        </w:rPr>
        <w:t xml:space="preserve"> budget</w:t>
      </w:r>
      <w:r w:rsidRPr="00C8102B">
        <w:rPr>
          <w:rFonts w:cs="Arial"/>
          <w:bCs/>
          <w:szCs w:val="24"/>
        </w:rPr>
        <w:t>. The f</w:t>
      </w:r>
      <w:r w:rsidR="001C512F" w:rsidRPr="00C8102B">
        <w:rPr>
          <w:rFonts w:cs="Arial"/>
          <w:bCs/>
          <w:szCs w:val="24"/>
        </w:rPr>
        <w:t>inal</w:t>
      </w:r>
      <w:r w:rsidRPr="00C8102B">
        <w:rPr>
          <w:rFonts w:cs="Arial"/>
          <w:bCs/>
          <w:szCs w:val="24"/>
        </w:rPr>
        <w:t xml:space="preserve"> </w:t>
      </w:r>
      <w:r w:rsidR="00FC3391" w:rsidRPr="00C8102B">
        <w:rPr>
          <w:rFonts w:cs="Arial"/>
          <w:bCs/>
          <w:szCs w:val="24"/>
        </w:rPr>
        <w:t>spend</w:t>
      </w:r>
      <w:r w:rsidRPr="00C8102B">
        <w:rPr>
          <w:rFonts w:cs="Arial"/>
          <w:bCs/>
          <w:szCs w:val="24"/>
        </w:rPr>
        <w:t xml:space="preserve"> on the General Fund is £</w:t>
      </w:r>
      <w:r w:rsidR="00C8102B" w:rsidRPr="00C8102B">
        <w:rPr>
          <w:rFonts w:cs="Arial"/>
          <w:bCs/>
          <w:szCs w:val="24"/>
        </w:rPr>
        <w:t>44.117m</w:t>
      </w:r>
      <w:r w:rsidRPr="00C8102B">
        <w:rPr>
          <w:rFonts w:cs="Arial"/>
          <w:bCs/>
          <w:szCs w:val="24"/>
        </w:rPr>
        <w:t>, (</w:t>
      </w:r>
      <w:r w:rsidR="00C8102B" w:rsidRPr="00C8102B">
        <w:rPr>
          <w:rFonts w:cs="Arial"/>
          <w:bCs/>
          <w:szCs w:val="24"/>
        </w:rPr>
        <w:t>39</w:t>
      </w:r>
      <w:r w:rsidRPr="00C8102B">
        <w:rPr>
          <w:rFonts w:cs="Arial"/>
          <w:bCs/>
          <w:szCs w:val="24"/>
        </w:rPr>
        <w:t>%</w:t>
      </w:r>
      <w:r w:rsidR="00FC3391" w:rsidRPr="00C8102B">
        <w:rPr>
          <w:rFonts w:cs="Arial"/>
          <w:bCs/>
          <w:szCs w:val="24"/>
        </w:rPr>
        <w:t xml:space="preserve"> of budget</w:t>
      </w:r>
      <w:r w:rsidRPr="00C8102B">
        <w:rPr>
          <w:rFonts w:cs="Arial"/>
          <w:bCs/>
          <w:szCs w:val="24"/>
        </w:rPr>
        <w:t>)</w:t>
      </w:r>
      <w:r w:rsidR="001C512F" w:rsidRPr="00C8102B">
        <w:rPr>
          <w:rFonts w:cs="Arial"/>
          <w:bCs/>
          <w:szCs w:val="24"/>
        </w:rPr>
        <w:t>. The variance of £</w:t>
      </w:r>
      <w:r w:rsidR="00C8102B" w:rsidRPr="00C8102B">
        <w:rPr>
          <w:rFonts w:cs="Arial"/>
          <w:bCs/>
          <w:szCs w:val="24"/>
        </w:rPr>
        <w:t>69.758m</w:t>
      </w:r>
      <w:r w:rsidR="001C512F" w:rsidRPr="00C8102B">
        <w:rPr>
          <w:rFonts w:cs="Arial"/>
          <w:bCs/>
          <w:szCs w:val="24"/>
        </w:rPr>
        <w:t xml:space="preserve"> is made up of proposed slippage of £</w:t>
      </w:r>
      <w:r w:rsidR="00C8102B" w:rsidRPr="00C8102B">
        <w:rPr>
          <w:rFonts w:cs="Arial"/>
          <w:bCs/>
          <w:szCs w:val="24"/>
        </w:rPr>
        <w:t>64.626m</w:t>
      </w:r>
      <w:r w:rsidR="001C512F" w:rsidRPr="00C8102B">
        <w:rPr>
          <w:rFonts w:cs="Arial"/>
          <w:bCs/>
          <w:szCs w:val="24"/>
        </w:rPr>
        <w:t xml:space="preserve"> and a net underspend of £</w:t>
      </w:r>
      <w:r w:rsidR="00C8102B" w:rsidRPr="00C8102B">
        <w:rPr>
          <w:rFonts w:cs="Arial"/>
          <w:bCs/>
          <w:szCs w:val="24"/>
        </w:rPr>
        <w:t>5.132m</w:t>
      </w:r>
      <w:r w:rsidR="001C512F" w:rsidRPr="00C8102B">
        <w:rPr>
          <w:rFonts w:cs="Arial"/>
          <w:bCs/>
          <w:szCs w:val="24"/>
        </w:rPr>
        <w:t xml:space="preserve">. </w:t>
      </w:r>
      <w:r w:rsidR="0016506B" w:rsidRPr="00C8102B">
        <w:rPr>
          <w:rFonts w:cs="Arial"/>
          <w:bCs/>
          <w:szCs w:val="24"/>
        </w:rPr>
        <w:t>The final spend on the Housing Revenue Account is £</w:t>
      </w:r>
      <w:r w:rsidR="00C8102B" w:rsidRPr="00C8102B">
        <w:rPr>
          <w:rFonts w:cs="Arial"/>
          <w:bCs/>
          <w:szCs w:val="24"/>
        </w:rPr>
        <w:t>30.529m</w:t>
      </w:r>
      <w:r w:rsidR="0016506B" w:rsidRPr="00C8102B">
        <w:rPr>
          <w:rFonts w:cs="Arial"/>
          <w:bCs/>
          <w:szCs w:val="24"/>
        </w:rPr>
        <w:t xml:space="preserve"> (</w:t>
      </w:r>
      <w:r w:rsidR="00C8102B" w:rsidRPr="00C8102B">
        <w:rPr>
          <w:rFonts w:cs="Arial"/>
          <w:bCs/>
          <w:szCs w:val="24"/>
        </w:rPr>
        <w:t>30</w:t>
      </w:r>
      <w:r w:rsidR="0016506B" w:rsidRPr="00C8102B">
        <w:rPr>
          <w:rFonts w:cs="Arial"/>
          <w:bCs/>
          <w:szCs w:val="24"/>
        </w:rPr>
        <w:t>% of the budget).  The variance on the HRA of £</w:t>
      </w:r>
      <w:r w:rsidR="00C8102B" w:rsidRPr="00C8102B">
        <w:rPr>
          <w:rFonts w:cs="Arial"/>
          <w:bCs/>
          <w:szCs w:val="24"/>
        </w:rPr>
        <w:t>72.116m</w:t>
      </w:r>
      <w:r w:rsidR="0016506B" w:rsidRPr="00C8102B">
        <w:rPr>
          <w:rFonts w:cs="Arial"/>
          <w:bCs/>
          <w:szCs w:val="24"/>
        </w:rPr>
        <w:t xml:space="preserve"> is made </w:t>
      </w:r>
      <w:r w:rsidR="00C8102B" w:rsidRPr="00C8102B">
        <w:rPr>
          <w:rFonts w:cs="Arial"/>
          <w:bCs/>
          <w:szCs w:val="24"/>
        </w:rPr>
        <w:t>up of budget realignment of £51.980m agreed by Cabinet in February 2022,</w:t>
      </w:r>
      <w:r w:rsidR="0016506B" w:rsidRPr="00C8102B">
        <w:rPr>
          <w:rFonts w:cs="Arial"/>
          <w:bCs/>
          <w:szCs w:val="24"/>
        </w:rPr>
        <w:t xml:space="preserve"> proposed slippage of </w:t>
      </w:r>
      <w:r w:rsidR="00C8102B" w:rsidRPr="00C8102B">
        <w:rPr>
          <w:rFonts w:cs="Arial"/>
          <w:bCs/>
          <w:szCs w:val="24"/>
        </w:rPr>
        <w:t>£18.322m</w:t>
      </w:r>
      <w:r w:rsidR="0016506B" w:rsidRPr="00C8102B">
        <w:rPr>
          <w:rFonts w:cs="Arial"/>
          <w:bCs/>
          <w:szCs w:val="24"/>
        </w:rPr>
        <w:t xml:space="preserve"> and an underspend of £1.</w:t>
      </w:r>
      <w:r w:rsidR="00C8102B" w:rsidRPr="00C8102B">
        <w:rPr>
          <w:rFonts w:cs="Arial"/>
          <w:bCs/>
          <w:szCs w:val="24"/>
        </w:rPr>
        <w:t>8</w:t>
      </w:r>
      <w:r w:rsidR="0016506B" w:rsidRPr="00C8102B">
        <w:rPr>
          <w:rFonts w:cs="Arial"/>
          <w:bCs/>
          <w:szCs w:val="24"/>
        </w:rPr>
        <w:t>1</w:t>
      </w:r>
      <w:r w:rsidR="00C8102B" w:rsidRPr="00C8102B">
        <w:rPr>
          <w:rFonts w:cs="Arial"/>
          <w:bCs/>
          <w:szCs w:val="24"/>
        </w:rPr>
        <w:t>5</w:t>
      </w:r>
      <w:r w:rsidR="0016506B" w:rsidRPr="00C8102B">
        <w:rPr>
          <w:rFonts w:cs="Arial"/>
          <w:bCs/>
          <w:szCs w:val="24"/>
        </w:rPr>
        <w:t>m.</w:t>
      </w:r>
    </w:p>
    <w:p w14:paraId="5D34CA4B" w14:textId="3204595D" w:rsidR="00976821" w:rsidRDefault="00976821" w:rsidP="002E1E8D">
      <w:pPr>
        <w:pStyle w:val="ListParagraph"/>
        <w:rPr>
          <w:rFonts w:cs="Arial"/>
          <w:color w:val="FF0000"/>
          <w:szCs w:val="24"/>
          <w:highlight w:val="yellow"/>
        </w:rPr>
      </w:pPr>
    </w:p>
    <w:p w14:paraId="3249A7F3" w14:textId="3AB5A4F6" w:rsidR="0039608F" w:rsidRDefault="001E7BD7" w:rsidP="007A4D31">
      <w:pPr>
        <w:pStyle w:val="ListParagraph"/>
        <w:numPr>
          <w:ilvl w:val="0"/>
          <w:numId w:val="3"/>
        </w:numPr>
        <w:tabs>
          <w:tab w:val="left" w:pos="567"/>
        </w:tabs>
        <w:ind w:left="567" w:right="140" w:hanging="567"/>
        <w:contextualSpacing/>
        <w:jc w:val="both"/>
        <w:rPr>
          <w:rFonts w:cs="Arial"/>
          <w:szCs w:val="24"/>
        </w:rPr>
      </w:pPr>
      <w:bookmarkStart w:id="10" w:name="_Hlk105752078"/>
      <w:r w:rsidRPr="001859C2">
        <w:rPr>
          <w:rFonts w:cs="Arial"/>
          <w:szCs w:val="24"/>
        </w:rPr>
        <w:t xml:space="preserve">Table </w:t>
      </w:r>
      <w:r w:rsidR="00FA67D2" w:rsidRPr="001859C2">
        <w:rPr>
          <w:rFonts w:cs="Arial"/>
          <w:szCs w:val="24"/>
        </w:rPr>
        <w:t>1</w:t>
      </w:r>
      <w:r w:rsidR="00C920C9">
        <w:rPr>
          <w:rFonts w:cs="Arial"/>
          <w:szCs w:val="24"/>
        </w:rPr>
        <w:t>3</w:t>
      </w:r>
      <w:r w:rsidRPr="001859C2">
        <w:rPr>
          <w:rFonts w:cs="Arial"/>
          <w:szCs w:val="24"/>
        </w:rPr>
        <w:t xml:space="preserve"> shows a General Fund variance of £</w:t>
      </w:r>
      <w:r w:rsidR="00FA67D2" w:rsidRPr="001859C2">
        <w:rPr>
          <w:rFonts w:cs="Arial"/>
          <w:szCs w:val="24"/>
        </w:rPr>
        <w:t>69.758</w:t>
      </w:r>
      <w:r w:rsidRPr="001859C2">
        <w:rPr>
          <w:rFonts w:cs="Arial"/>
          <w:szCs w:val="24"/>
        </w:rPr>
        <w:t>m</w:t>
      </w:r>
      <w:r w:rsidR="00FA67D2" w:rsidRPr="001859C2">
        <w:rPr>
          <w:rFonts w:cs="Arial"/>
          <w:szCs w:val="24"/>
        </w:rPr>
        <w:t>.  The vast majority (</w:t>
      </w:r>
      <w:r w:rsidRPr="001859C2">
        <w:rPr>
          <w:rFonts w:cs="Arial"/>
          <w:szCs w:val="24"/>
        </w:rPr>
        <w:t>£</w:t>
      </w:r>
      <w:r w:rsidR="00FA67D2" w:rsidRPr="001859C2">
        <w:rPr>
          <w:rFonts w:cs="Arial"/>
          <w:szCs w:val="24"/>
        </w:rPr>
        <w:t>64.626</w:t>
      </w:r>
      <w:r w:rsidRPr="001859C2">
        <w:rPr>
          <w:rFonts w:cs="Arial"/>
          <w:szCs w:val="24"/>
        </w:rPr>
        <w:t>m</w:t>
      </w:r>
      <w:r w:rsidR="00FA67D2" w:rsidRPr="001859C2">
        <w:rPr>
          <w:rFonts w:cs="Arial"/>
          <w:szCs w:val="24"/>
        </w:rPr>
        <w:t>)</w:t>
      </w:r>
      <w:r w:rsidRPr="001859C2">
        <w:rPr>
          <w:rFonts w:cs="Arial"/>
          <w:szCs w:val="24"/>
        </w:rPr>
        <w:t xml:space="preserve"> will be slipped to 202</w:t>
      </w:r>
      <w:r w:rsidR="00FA67D2" w:rsidRPr="001859C2">
        <w:rPr>
          <w:rFonts w:cs="Arial"/>
          <w:szCs w:val="24"/>
        </w:rPr>
        <w:t>2</w:t>
      </w:r>
      <w:r w:rsidRPr="001859C2">
        <w:rPr>
          <w:rFonts w:cs="Arial"/>
          <w:szCs w:val="24"/>
        </w:rPr>
        <w:t>/2</w:t>
      </w:r>
      <w:r w:rsidR="00FA67D2" w:rsidRPr="001859C2">
        <w:rPr>
          <w:rFonts w:cs="Arial"/>
          <w:szCs w:val="24"/>
        </w:rPr>
        <w:t xml:space="preserve">3, and the </w:t>
      </w:r>
      <w:r w:rsidRPr="001859C2">
        <w:rPr>
          <w:rFonts w:cs="Arial"/>
          <w:szCs w:val="24"/>
        </w:rPr>
        <w:t>remaining variance of £</w:t>
      </w:r>
      <w:r w:rsidR="00FA67D2" w:rsidRPr="001859C2">
        <w:rPr>
          <w:rFonts w:cs="Arial"/>
          <w:szCs w:val="24"/>
        </w:rPr>
        <w:t>5.132</w:t>
      </w:r>
      <w:r w:rsidRPr="001859C2">
        <w:rPr>
          <w:rFonts w:cs="Arial"/>
          <w:szCs w:val="24"/>
        </w:rPr>
        <w:t xml:space="preserve">m is an underspend.  </w:t>
      </w:r>
      <w:r w:rsidR="002A2602" w:rsidRPr="001859C2">
        <w:rPr>
          <w:rFonts w:cs="Arial"/>
          <w:szCs w:val="24"/>
        </w:rPr>
        <w:t>The breakdown of the underspend i</w:t>
      </w:r>
      <w:r w:rsidR="00EA5874" w:rsidRPr="001859C2">
        <w:rPr>
          <w:rFonts w:cs="Arial"/>
          <w:szCs w:val="24"/>
        </w:rPr>
        <w:t>s</w:t>
      </w:r>
      <w:r w:rsidR="0036495E" w:rsidRPr="001859C2">
        <w:rPr>
          <w:rFonts w:cs="Arial"/>
          <w:szCs w:val="24"/>
        </w:rPr>
        <w:t xml:space="preserve"> detailed </w:t>
      </w:r>
      <w:r w:rsidR="00EA5874" w:rsidRPr="001859C2">
        <w:rPr>
          <w:rFonts w:cs="Arial"/>
          <w:szCs w:val="24"/>
        </w:rPr>
        <w:t xml:space="preserve">in Appendix </w:t>
      </w:r>
      <w:r w:rsidR="008C77BE">
        <w:rPr>
          <w:rFonts w:cs="Arial"/>
          <w:szCs w:val="24"/>
        </w:rPr>
        <w:t>4</w:t>
      </w:r>
      <w:r w:rsidR="00EA5874" w:rsidRPr="001859C2">
        <w:rPr>
          <w:rFonts w:cs="Arial"/>
          <w:szCs w:val="24"/>
        </w:rPr>
        <w:t xml:space="preserve"> and in terms of funding, £4.266m is funded from grants, right to buy receipts and other external funding and the remaining £866k relates to schemes funded from borrowing.</w:t>
      </w:r>
      <w:r w:rsidR="002A2602" w:rsidRPr="001859C2">
        <w:rPr>
          <w:rFonts w:cs="Arial"/>
          <w:szCs w:val="24"/>
        </w:rPr>
        <w:t xml:space="preserve"> </w:t>
      </w:r>
      <w:r w:rsidR="00EA5874" w:rsidRPr="001859C2">
        <w:rPr>
          <w:rFonts w:cs="Arial"/>
          <w:szCs w:val="24"/>
        </w:rPr>
        <w:t>The saving in borrowing costs will be factored into the 2022/23 budget monitoring and will be reviewed as part of the 2023/24 budget setting.</w:t>
      </w:r>
      <w:r w:rsidR="0036495E" w:rsidRPr="001859C2">
        <w:rPr>
          <w:rFonts w:cs="Arial"/>
          <w:szCs w:val="24"/>
        </w:rPr>
        <w:t xml:space="preserve"> The breakdown of the underspend is detailed in Table 1</w:t>
      </w:r>
      <w:r w:rsidR="00E7713B">
        <w:rPr>
          <w:rFonts w:cs="Arial"/>
          <w:szCs w:val="24"/>
        </w:rPr>
        <w:t>4</w:t>
      </w:r>
      <w:r w:rsidR="0036495E" w:rsidRPr="001859C2">
        <w:rPr>
          <w:rFonts w:cs="Arial"/>
          <w:szCs w:val="24"/>
        </w:rPr>
        <w:t>.</w:t>
      </w:r>
    </w:p>
    <w:p w14:paraId="2ADA5F8A" w14:textId="05F2497D" w:rsidR="002D791C" w:rsidRDefault="002D791C" w:rsidP="002D791C">
      <w:pPr>
        <w:tabs>
          <w:tab w:val="left" w:pos="567"/>
        </w:tabs>
        <w:ind w:right="140"/>
        <w:contextualSpacing/>
        <w:jc w:val="both"/>
        <w:rPr>
          <w:rFonts w:cs="Arial"/>
          <w:szCs w:val="24"/>
        </w:rPr>
      </w:pPr>
    </w:p>
    <w:p w14:paraId="09064A40" w14:textId="77777777" w:rsidR="00EF5843" w:rsidRDefault="00EF5843" w:rsidP="002D791C">
      <w:pPr>
        <w:tabs>
          <w:tab w:val="left" w:pos="567"/>
        </w:tabs>
        <w:ind w:right="140"/>
        <w:contextualSpacing/>
        <w:jc w:val="both"/>
        <w:rPr>
          <w:rFonts w:cs="Arial"/>
          <w:b/>
          <w:bCs/>
          <w:szCs w:val="24"/>
          <w:u w:val="single"/>
        </w:rPr>
      </w:pPr>
    </w:p>
    <w:p w14:paraId="3442510D" w14:textId="77777777" w:rsidR="00EF5843" w:rsidRDefault="00EF5843" w:rsidP="002D791C">
      <w:pPr>
        <w:tabs>
          <w:tab w:val="left" w:pos="567"/>
        </w:tabs>
        <w:ind w:right="140"/>
        <w:contextualSpacing/>
        <w:jc w:val="both"/>
        <w:rPr>
          <w:rFonts w:cs="Arial"/>
          <w:b/>
          <w:bCs/>
          <w:szCs w:val="24"/>
          <w:u w:val="single"/>
        </w:rPr>
      </w:pPr>
    </w:p>
    <w:p w14:paraId="0C30B771" w14:textId="77777777" w:rsidR="00EF5843" w:rsidRDefault="00EF5843" w:rsidP="002D791C">
      <w:pPr>
        <w:tabs>
          <w:tab w:val="left" w:pos="567"/>
        </w:tabs>
        <w:ind w:right="140"/>
        <w:contextualSpacing/>
        <w:jc w:val="both"/>
        <w:rPr>
          <w:rFonts w:cs="Arial"/>
          <w:b/>
          <w:bCs/>
          <w:szCs w:val="24"/>
          <w:u w:val="single"/>
        </w:rPr>
      </w:pPr>
    </w:p>
    <w:p w14:paraId="72FD32F4" w14:textId="6F2C2913" w:rsidR="002D791C" w:rsidRPr="00E21C4D" w:rsidRDefault="002D791C" w:rsidP="002D791C">
      <w:pPr>
        <w:tabs>
          <w:tab w:val="left" w:pos="567"/>
        </w:tabs>
        <w:ind w:right="140"/>
        <w:contextualSpacing/>
        <w:jc w:val="both"/>
        <w:rPr>
          <w:rFonts w:cs="Arial"/>
          <w:b/>
          <w:bCs/>
          <w:szCs w:val="24"/>
          <w:u w:val="single"/>
        </w:rPr>
      </w:pPr>
      <w:r w:rsidRPr="00E21C4D">
        <w:rPr>
          <w:rFonts w:cs="Arial"/>
          <w:b/>
          <w:bCs/>
          <w:szCs w:val="24"/>
          <w:u w:val="single"/>
        </w:rPr>
        <w:t xml:space="preserve">Table 14: Analysis of General Fund Capital Underspend </w:t>
      </w:r>
    </w:p>
    <w:p w14:paraId="66ABAFAC" w14:textId="1BED9A6A" w:rsidR="00FC4EAF" w:rsidRPr="00E21C4D" w:rsidRDefault="00FC4EAF" w:rsidP="00FC4EAF">
      <w:pPr>
        <w:tabs>
          <w:tab w:val="left" w:pos="567"/>
        </w:tabs>
        <w:ind w:right="140"/>
        <w:contextualSpacing/>
        <w:jc w:val="both"/>
        <w:rPr>
          <w:noProof/>
        </w:rPr>
      </w:pPr>
    </w:p>
    <w:p w14:paraId="0549A55C" w14:textId="2D52066B" w:rsidR="00E21C4D" w:rsidRPr="00E21C4D" w:rsidRDefault="00E21C4D" w:rsidP="00FC4EAF">
      <w:pPr>
        <w:tabs>
          <w:tab w:val="left" w:pos="567"/>
        </w:tabs>
        <w:ind w:right="140"/>
        <w:contextualSpacing/>
        <w:jc w:val="both"/>
        <w:rPr>
          <w:rFonts w:cs="Arial"/>
          <w:szCs w:val="24"/>
        </w:rPr>
      </w:pPr>
      <w:r w:rsidRPr="00E21C4D">
        <w:rPr>
          <w:noProof/>
        </w:rPr>
        <w:drawing>
          <wp:inline distT="0" distB="0" distL="0" distR="0" wp14:anchorId="04F6D54A" wp14:editId="1666649C">
            <wp:extent cx="5850890" cy="4582160"/>
            <wp:effectExtent l="0" t="0" r="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0890" cy="4582160"/>
                    </a:xfrm>
                    <a:prstGeom prst="rect">
                      <a:avLst/>
                    </a:prstGeom>
                    <a:noFill/>
                    <a:ln>
                      <a:noFill/>
                    </a:ln>
                  </pic:spPr>
                </pic:pic>
              </a:graphicData>
            </a:graphic>
          </wp:inline>
        </w:drawing>
      </w:r>
    </w:p>
    <w:p w14:paraId="265E9519" w14:textId="4AD713B0" w:rsidR="00FC4EAF" w:rsidRPr="00E21C4D" w:rsidRDefault="00FC4EAF" w:rsidP="001859C2">
      <w:pPr>
        <w:tabs>
          <w:tab w:val="left" w:pos="567"/>
        </w:tabs>
        <w:ind w:right="140"/>
        <w:contextualSpacing/>
        <w:jc w:val="both"/>
        <w:rPr>
          <w:rFonts w:cs="Arial"/>
          <w:szCs w:val="24"/>
        </w:rPr>
      </w:pPr>
    </w:p>
    <w:p w14:paraId="6DD23843" w14:textId="659C06F1" w:rsidR="0036495E" w:rsidRPr="00E21C4D" w:rsidRDefault="0036495E" w:rsidP="0036495E">
      <w:pPr>
        <w:tabs>
          <w:tab w:val="left" w:pos="567"/>
        </w:tabs>
        <w:ind w:right="140"/>
        <w:contextualSpacing/>
        <w:jc w:val="both"/>
        <w:rPr>
          <w:rFonts w:cs="Arial"/>
          <w:szCs w:val="24"/>
        </w:rPr>
      </w:pPr>
    </w:p>
    <w:bookmarkEnd w:id="10"/>
    <w:p w14:paraId="2E01B36C" w14:textId="5CE3E9A2" w:rsidR="00A556C0" w:rsidRPr="00E21C4D" w:rsidRDefault="00A556C0" w:rsidP="00800A69">
      <w:pPr>
        <w:ind w:left="567" w:right="140"/>
        <w:rPr>
          <w:rFonts w:cs="Arial"/>
          <w:b/>
          <w:szCs w:val="24"/>
        </w:rPr>
      </w:pPr>
      <w:r w:rsidRPr="00E21C4D">
        <w:rPr>
          <w:rFonts w:cs="Arial"/>
          <w:b/>
          <w:szCs w:val="24"/>
        </w:rPr>
        <w:t>RESOURCES</w:t>
      </w:r>
    </w:p>
    <w:p w14:paraId="2FE4AC4B" w14:textId="2378462F" w:rsidR="00A556C0" w:rsidRDefault="00A556C0" w:rsidP="00800A69">
      <w:pPr>
        <w:pStyle w:val="ListParagraph"/>
        <w:ind w:right="140"/>
        <w:rPr>
          <w:rFonts w:cs="Arial"/>
          <w:bCs/>
          <w:szCs w:val="24"/>
        </w:rPr>
      </w:pPr>
    </w:p>
    <w:p w14:paraId="4E86C0FB" w14:textId="2FD85A7A" w:rsidR="00EF5870" w:rsidRPr="001859C2" w:rsidRDefault="001859C2" w:rsidP="001859C2">
      <w:pPr>
        <w:pStyle w:val="ListParagraph"/>
        <w:numPr>
          <w:ilvl w:val="0"/>
          <w:numId w:val="3"/>
        </w:numPr>
        <w:tabs>
          <w:tab w:val="left" w:pos="567"/>
        </w:tabs>
        <w:ind w:left="567" w:right="140" w:hanging="567"/>
        <w:contextualSpacing/>
        <w:jc w:val="both"/>
        <w:rPr>
          <w:rFonts w:cs="Arial"/>
          <w:szCs w:val="24"/>
        </w:rPr>
      </w:pPr>
      <w:r>
        <w:rPr>
          <w:rFonts w:cs="Arial"/>
          <w:szCs w:val="24"/>
        </w:rPr>
        <w:t xml:space="preserve">At the final outturn </w:t>
      </w:r>
      <w:r w:rsidR="00EF5870" w:rsidRPr="001859C2">
        <w:rPr>
          <w:rFonts w:cs="Arial"/>
          <w:bCs/>
          <w:szCs w:val="24"/>
        </w:rPr>
        <w:t>£</w:t>
      </w:r>
      <w:r w:rsidR="008C0C2B" w:rsidRPr="001859C2">
        <w:rPr>
          <w:rFonts w:cs="Arial"/>
          <w:bCs/>
          <w:szCs w:val="24"/>
        </w:rPr>
        <w:t>5.598m</w:t>
      </w:r>
      <w:r w:rsidR="00EF5870" w:rsidRPr="001859C2">
        <w:rPr>
          <w:rFonts w:cs="Arial"/>
          <w:bCs/>
          <w:szCs w:val="24"/>
        </w:rPr>
        <w:t xml:space="preserve"> (</w:t>
      </w:r>
      <w:r w:rsidR="008C0C2B" w:rsidRPr="001859C2">
        <w:rPr>
          <w:rFonts w:cs="Arial"/>
          <w:bCs/>
          <w:szCs w:val="24"/>
        </w:rPr>
        <w:t>37</w:t>
      </w:r>
      <w:r w:rsidR="00EF5870" w:rsidRPr="001859C2">
        <w:rPr>
          <w:rFonts w:cs="Arial"/>
          <w:bCs/>
          <w:szCs w:val="24"/>
        </w:rPr>
        <w:t>% of budget) has been spent. Of the £</w:t>
      </w:r>
      <w:r w:rsidR="008C0C2B" w:rsidRPr="001859C2">
        <w:rPr>
          <w:rFonts w:cs="Arial"/>
          <w:bCs/>
          <w:szCs w:val="24"/>
        </w:rPr>
        <w:t>9.584m</w:t>
      </w:r>
      <w:r w:rsidR="00EF5870" w:rsidRPr="001859C2">
        <w:rPr>
          <w:rFonts w:cs="Arial"/>
          <w:bCs/>
          <w:szCs w:val="24"/>
        </w:rPr>
        <w:t xml:space="preserve"> variance, £</w:t>
      </w:r>
      <w:r w:rsidR="008C0C2B" w:rsidRPr="001859C2">
        <w:rPr>
          <w:rFonts w:cs="Arial"/>
          <w:bCs/>
          <w:szCs w:val="24"/>
        </w:rPr>
        <w:t>9.554m</w:t>
      </w:r>
      <w:r w:rsidR="00EF5870" w:rsidRPr="001859C2">
        <w:rPr>
          <w:rFonts w:cs="Arial"/>
          <w:bCs/>
          <w:szCs w:val="24"/>
        </w:rPr>
        <w:t xml:space="preserve"> of funding will be carried forward to 202</w:t>
      </w:r>
      <w:r w:rsidR="008C0C2B" w:rsidRPr="001859C2">
        <w:rPr>
          <w:rFonts w:cs="Arial"/>
          <w:bCs/>
          <w:szCs w:val="24"/>
        </w:rPr>
        <w:t>2-</w:t>
      </w:r>
      <w:r w:rsidR="00EF5870" w:rsidRPr="001859C2">
        <w:rPr>
          <w:rFonts w:cs="Arial"/>
          <w:bCs/>
          <w:szCs w:val="24"/>
        </w:rPr>
        <w:t>2</w:t>
      </w:r>
      <w:r w:rsidR="008C0C2B" w:rsidRPr="001859C2">
        <w:rPr>
          <w:rFonts w:cs="Arial"/>
          <w:bCs/>
          <w:szCs w:val="24"/>
        </w:rPr>
        <w:t>3</w:t>
      </w:r>
      <w:r w:rsidR="00EF5870" w:rsidRPr="001859C2">
        <w:rPr>
          <w:rFonts w:cs="Arial"/>
          <w:bCs/>
          <w:szCs w:val="24"/>
        </w:rPr>
        <w:t xml:space="preserve"> to complete ongoing projects</w:t>
      </w:r>
      <w:r w:rsidR="008C0C2B" w:rsidRPr="001859C2">
        <w:rPr>
          <w:rFonts w:cs="Arial"/>
          <w:bCs/>
          <w:szCs w:val="24"/>
        </w:rPr>
        <w:t>. There is a £30k underspend on the ABAVUS &amp; Waste Collector projects which have now been completed</w:t>
      </w:r>
      <w:r w:rsidR="00381E1B" w:rsidRPr="001859C2">
        <w:rPr>
          <w:rFonts w:cs="Arial"/>
          <w:bCs/>
          <w:szCs w:val="24"/>
        </w:rPr>
        <w:t>.</w:t>
      </w:r>
      <w:r w:rsidR="00EF5870" w:rsidRPr="001859C2">
        <w:rPr>
          <w:rFonts w:cs="Arial"/>
          <w:bCs/>
          <w:szCs w:val="24"/>
        </w:rPr>
        <w:t xml:space="preserve"> The slippage mainly relates to the following projects:</w:t>
      </w:r>
    </w:p>
    <w:p w14:paraId="46003E57" w14:textId="77777777" w:rsidR="00EF5870" w:rsidRPr="008C0C2B" w:rsidRDefault="00EF5870" w:rsidP="00EF5870">
      <w:pPr>
        <w:pStyle w:val="ListParagraph"/>
        <w:tabs>
          <w:tab w:val="left" w:pos="567"/>
        </w:tabs>
        <w:ind w:left="567" w:right="140"/>
        <w:contextualSpacing/>
        <w:jc w:val="both"/>
        <w:rPr>
          <w:rFonts w:cs="Arial"/>
          <w:szCs w:val="24"/>
        </w:rPr>
      </w:pPr>
    </w:p>
    <w:p w14:paraId="2F310D57" w14:textId="33FB64BE" w:rsidR="00EF5870" w:rsidRPr="008C0C2B" w:rsidRDefault="00EF5870" w:rsidP="007A4D31">
      <w:pPr>
        <w:pStyle w:val="ListParagraph"/>
        <w:numPr>
          <w:ilvl w:val="1"/>
          <w:numId w:val="3"/>
        </w:numPr>
        <w:tabs>
          <w:tab w:val="left" w:pos="567"/>
        </w:tabs>
        <w:ind w:right="140"/>
        <w:contextualSpacing/>
        <w:jc w:val="both"/>
        <w:rPr>
          <w:rFonts w:cs="Arial"/>
          <w:szCs w:val="24"/>
        </w:rPr>
      </w:pPr>
      <w:r w:rsidRPr="008C0C2B">
        <w:rPr>
          <w:rFonts w:cs="Arial"/>
          <w:szCs w:val="24"/>
        </w:rPr>
        <w:t xml:space="preserve">Ongoing refresh and enhancement of ICT </w:t>
      </w:r>
      <w:r w:rsidR="008C0C2B" w:rsidRPr="008C0C2B">
        <w:rPr>
          <w:rFonts w:cs="Arial"/>
          <w:szCs w:val="24"/>
        </w:rPr>
        <w:t>(£4.675m</w:t>
      </w:r>
      <w:r w:rsidRPr="008C0C2B">
        <w:rPr>
          <w:rFonts w:cs="Arial"/>
          <w:szCs w:val="24"/>
        </w:rPr>
        <w:t xml:space="preserve">). The refresh and enhancement work </w:t>
      </w:r>
      <w:proofErr w:type="gramStart"/>
      <w:r w:rsidRPr="008C0C2B">
        <w:rPr>
          <w:rFonts w:cs="Arial"/>
          <w:szCs w:val="24"/>
        </w:rPr>
        <w:t>is</w:t>
      </w:r>
      <w:proofErr w:type="gramEnd"/>
      <w:r w:rsidRPr="008C0C2B">
        <w:rPr>
          <w:rFonts w:cs="Arial"/>
          <w:szCs w:val="24"/>
        </w:rPr>
        <w:t xml:space="preserve"> ongoing and based on the latest implementation timeline, the project is scheduled to be completed in </w:t>
      </w:r>
      <w:r w:rsidR="008C0C2B" w:rsidRPr="008C0C2B">
        <w:rPr>
          <w:rFonts w:cs="Arial"/>
          <w:szCs w:val="24"/>
        </w:rPr>
        <w:t>2022-23</w:t>
      </w:r>
    </w:p>
    <w:p w14:paraId="577C993C" w14:textId="77777777" w:rsidR="008C0C2B" w:rsidRPr="008C0C2B" w:rsidRDefault="008C0C2B" w:rsidP="008C0C2B">
      <w:pPr>
        <w:pStyle w:val="ListParagraph"/>
        <w:tabs>
          <w:tab w:val="left" w:pos="567"/>
        </w:tabs>
        <w:ind w:left="1440" w:right="140"/>
        <w:contextualSpacing/>
        <w:jc w:val="both"/>
        <w:rPr>
          <w:rFonts w:cs="Arial"/>
          <w:szCs w:val="24"/>
        </w:rPr>
      </w:pPr>
    </w:p>
    <w:p w14:paraId="4E549B2C" w14:textId="386C476F" w:rsidR="008C0C2B" w:rsidRPr="008C0C2B" w:rsidRDefault="008C0C2B" w:rsidP="007A4D31">
      <w:pPr>
        <w:pStyle w:val="ListParagraph"/>
        <w:numPr>
          <w:ilvl w:val="1"/>
          <w:numId w:val="3"/>
        </w:numPr>
        <w:tabs>
          <w:tab w:val="left" w:pos="567"/>
        </w:tabs>
        <w:ind w:right="140"/>
        <w:contextualSpacing/>
        <w:jc w:val="both"/>
        <w:rPr>
          <w:rFonts w:cs="Arial"/>
          <w:szCs w:val="24"/>
        </w:rPr>
      </w:pPr>
      <w:r w:rsidRPr="008C0C2B">
        <w:rPr>
          <w:rFonts w:cs="Arial"/>
          <w:szCs w:val="24"/>
        </w:rPr>
        <w:t>Council wide unallocated (£3.323m). This budget is to be set aside for any emerging capital requirements not included elsewhere in the capital programme in 2022-23</w:t>
      </w:r>
    </w:p>
    <w:p w14:paraId="1CC9F4F9" w14:textId="77777777" w:rsidR="008C0C2B" w:rsidRPr="008C0C2B" w:rsidRDefault="008C0C2B" w:rsidP="008C0C2B">
      <w:pPr>
        <w:pStyle w:val="ListParagraph"/>
        <w:tabs>
          <w:tab w:val="left" w:pos="567"/>
        </w:tabs>
        <w:ind w:left="1440" w:right="140"/>
        <w:contextualSpacing/>
        <w:jc w:val="both"/>
        <w:rPr>
          <w:rFonts w:cs="Arial"/>
          <w:szCs w:val="24"/>
        </w:rPr>
      </w:pPr>
    </w:p>
    <w:p w14:paraId="43B61C03" w14:textId="75AACB57" w:rsidR="008C0C2B" w:rsidRPr="008C0C2B" w:rsidRDefault="008C0C2B" w:rsidP="007A4D31">
      <w:pPr>
        <w:pStyle w:val="ListParagraph"/>
        <w:numPr>
          <w:ilvl w:val="1"/>
          <w:numId w:val="3"/>
        </w:numPr>
        <w:tabs>
          <w:tab w:val="left" w:pos="567"/>
        </w:tabs>
        <w:ind w:right="140"/>
        <w:contextualSpacing/>
        <w:jc w:val="both"/>
        <w:rPr>
          <w:rFonts w:cs="Arial"/>
          <w:szCs w:val="24"/>
        </w:rPr>
      </w:pPr>
      <w:r w:rsidRPr="008C0C2B">
        <w:rPr>
          <w:rFonts w:cs="Arial"/>
          <w:szCs w:val="24"/>
        </w:rPr>
        <w:lastRenderedPageBreak/>
        <w:t xml:space="preserve">Careline Digitalisation (£482k). This budget covers </w:t>
      </w:r>
      <w:r w:rsidR="00E136DA" w:rsidRPr="008C0C2B">
        <w:rPr>
          <w:rFonts w:cs="Arial"/>
          <w:szCs w:val="24"/>
        </w:rPr>
        <w:t>three-year</w:t>
      </w:r>
      <w:r w:rsidRPr="008C0C2B">
        <w:rPr>
          <w:rFonts w:cs="Arial"/>
          <w:szCs w:val="24"/>
        </w:rPr>
        <w:t xml:space="preserve"> equipment replacement </w:t>
      </w:r>
      <w:r w:rsidR="00E136DA" w:rsidRPr="008C0C2B">
        <w:rPr>
          <w:rFonts w:cs="Arial"/>
          <w:szCs w:val="24"/>
        </w:rPr>
        <w:t>programme,</w:t>
      </w:r>
      <w:r w:rsidRPr="008C0C2B">
        <w:rPr>
          <w:rFonts w:cs="Arial"/>
          <w:szCs w:val="24"/>
        </w:rPr>
        <w:t xml:space="preserve"> and the remaining balance will be slipped to 2022-23</w:t>
      </w:r>
    </w:p>
    <w:p w14:paraId="2C7AED0B" w14:textId="77777777" w:rsidR="00EF5870" w:rsidRPr="008C0C2B" w:rsidRDefault="00EF5870" w:rsidP="00EF5870">
      <w:pPr>
        <w:pStyle w:val="ListParagraph"/>
        <w:tabs>
          <w:tab w:val="left" w:pos="567"/>
        </w:tabs>
        <w:ind w:left="1440" w:right="140"/>
        <w:contextualSpacing/>
        <w:jc w:val="both"/>
        <w:rPr>
          <w:rFonts w:cs="Arial"/>
          <w:szCs w:val="24"/>
        </w:rPr>
      </w:pPr>
    </w:p>
    <w:p w14:paraId="3F7FB210" w14:textId="3F575150" w:rsidR="002E1E8D" w:rsidRPr="008C0C2B" w:rsidRDefault="00EF5870" w:rsidP="007A4D31">
      <w:pPr>
        <w:pStyle w:val="ListParagraph"/>
        <w:numPr>
          <w:ilvl w:val="1"/>
          <w:numId w:val="3"/>
        </w:numPr>
        <w:tabs>
          <w:tab w:val="left" w:pos="567"/>
        </w:tabs>
        <w:ind w:right="140"/>
        <w:contextualSpacing/>
        <w:jc w:val="both"/>
        <w:rPr>
          <w:rFonts w:cs="Arial"/>
          <w:szCs w:val="24"/>
        </w:rPr>
      </w:pPr>
      <w:r w:rsidRPr="008C0C2B">
        <w:rPr>
          <w:rFonts w:cs="Arial"/>
          <w:szCs w:val="24"/>
        </w:rPr>
        <w:t>Devolved Applications refresh (£</w:t>
      </w:r>
      <w:r w:rsidR="008C0C2B" w:rsidRPr="008C0C2B">
        <w:rPr>
          <w:rFonts w:cs="Arial"/>
          <w:szCs w:val="24"/>
        </w:rPr>
        <w:t>153</w:t>
      </w:r>
      <w:r w:rsidRPr="008C0C2B">
        <w:rPr>
          <w:rFonts w:cs="Arial"/>
          <w:szCs w:val="24"/>
        </w:rPr>
        <w:t xml:space="preserve">k). </w:t>
      </w:r>
      <w:r w:rsidR="008C0C2B" w:rsidRPr="008C0C2B">
        <w:rPr>
          <w:rFonts w:cs="Arial"/>
          <w:szCs w:val="24"/>
        </w:rPr>
        <w:t xml:space="preserve">This budget will be carried forward to 2022-23 for ongoing </w:t>
      </w:r>
      <w:r w:rsidR="00E136DA" w:rsidRPr="008C0C2B">
        <w:rPr>
          <w:rFonts w:cs="Arial"/>
          <w:szCs w:val="24"/>
        </w:rPr>
        <w:t>schemes</w:t>
      </w:r>
      <w:r w:rsidR="008C0C2B" w:rsidRPr="008C0C2B">
        <w:rPr>
          <w:rFonts w:cs="Arial"/>
          <w:szCs w:val="24"/>
        </w:rPr>
        <w:t xml:space="preserve"> relating to the Council Tax Integrated moves process and electoral registration integration work.</w:t>
      </w:r>
    </w:p>
    <w:p w14:paraId="20DEED07" w14:textId="77777777" w:rsidR="002E1E8D" w:rsidRPr="008C0C2B" w:rsidRDefault="002E1E8D" w:rsidP="002E1E8D">
      <w:pPr>
        <w:pStyle w:val="ListParagraph"/>
        <w:rPr>
          <w:rFonts w:cs="Arial"/>
          <w:szCs w:val="24"/>
        </w:rPr>
      </w:pPr>
    </w:p>
    <w:p w14:paraId="44D1634A" w14:textId="724067A8" w:rsidR="00EF5870" w:rsidRPr="008C0C2B" w:rsidRDefault="00EF5870" w:rsidP="007A4D31">
      <w:pPr>
        <w:pStyle w:val="ListParagraph"/>
        <w:numPr>
          <w:ilvl w:val="1"/>
          <w:numId w:val="3"/>
        </w:numPr>
        <w:tabs>
          <w:tab w:val="left" w:pos="567"/>
        </w:tabs>
        <w:ind w:right="140"/>
        <w:contextualSpacing/>
        <w:jc w:val="both"/>
        <w:rPr>
          <w:rFonts w:cs="Arial"/>
          <w:szCs w:val="24"/>
        </w:rPr>
      </w:pPr>
      <w:r w:rsidRPr="008C0C2B">
        <w:rPr>
          <w:rFonts w:cs="Arial"/>
          <w:szCs w:val="24"/>
        </w:rPr>
        <w:t>Enterprise Resource Planning System (£</w:t>
      </w:r>
      <w:r w:rsidR="008C0C2B" w:rsidRPr="008C0C2B">
        <w:rPr>
          <w:rFonts w:cs="Arial"/>
          <w:szCs w:val="24"/>
        </w:rPr>
        <w:t>922k</w:t>
      </w:r>
      <w:r w:rsidRPr="008C0C2B">
        <w:rPr>
          <w:rFonts w:cs="Arial"/>
          <w:szCs w:val="24"/>
        </w:rPr>
        <w:t xml:space="preserve">). </w:t>
      </w:r>
      <w:r w:rsidR="008C0C2B" w:rsidRPr="008C0C2B">
        <w:rPr>
          <w:rFonts w:cs="Arial"/>
          <w:szCs w:val="24"/>
        </w:rPr>
        <w:t>The Implementation of Dynamics 365 ERP is ongoing and due to be completed in 2022-23</w:t>
      </w:r>
      <w:r w:rsidR="00E41F8A" w:rsidRPr="008C0C2B">
        <w:rPr>
          <w:rFonts w:cs="Arial"/>
          <w:szCs w:val="24"/>
        </w:rPr>
        <w:t>.</w:t>
      </w:r>
    </w:p>
    <w:p w14:paraId="08898872" w14:textId="77777777" w:rsidR="00EF5870" w:rsidRPr="00B37833" w:rsidRDefault="00EF5870" w:rsidP="00EF5870">
      <w:pPr>
        <w:pStyle w:val="ListParagraph"/>
        <w:tabs>
          <w:tab w:val="left" w:pos="567"/>
        </w:tabs>
        <w:ind w:left="1440" w:right="140"/>
        <w:contextualSpacing/>
        <w:jc w:val="both"/>
        <w:rPr>
          <w:rFonts w:cs="Arial"/>
          <w:color w:val="FF0000"/>
          <w:szCs w:val="24"/>
        </w:rPr>
      </w:pPr>
    </w:p>
    <w:p w14:paraId="74B75AF2" w14:textId="7A7E655D" w:rsidR="00B329CE" w:rsidRPr="00DC02F1" w:rsidRDefault="002543B8" w:rsidP="003634DA">
      <w:pPr>
        <w:ind w:firstLine="567"/>
        <w:jc w:val="both"/>
        <w:rPr>
          <w:rFonts w:cs="Arial"/>
          <w:b/>
          <w:szCs w:val="24"/>
          <w:lang w:val="en-US"/>
        </w:rPr>
      </w:pPr>
      <w:r>
        <w:rPr>
          <w:rFonts w:cs="Arial"/>
          <w:b/>
          <w:szCs w:val="24"/>
          <w:lang w:val="en-US"/>
        </w:rPr>
        <w:t>PLACE</w:t>
      </w:r>
    </w:p>
    <w:p w14:paraId="371908BB" w14:textId="3A5A0348" w:rsidR="000C14C0" w:rsidRPr="00B37833" w:rsidRDefault="000C14C0" w:rsidP="000C14C0">
      <w:pPr>
        <w:pStyle w:val="ListParagraph"/>
        <w:tabs>
          <w:tab w:val="left" w:pos="567"/>
        </w:tabs>
        <w:ind w:left="567"/>
        <w:jc w:val="both"/>
        <w:rPr>
          <w:color w:val="FF0000"/>
          <w:szCs w:val="24"/>
        </w:rPr>
      </w:pPr>
    </w:p>
    <w:p w14:paraId="1BD591C9" w14:textId="345F0549" w:rsidR="002000B9" w:rsidRPr="001859C2" w:rsidRDefault="001859C2" w:rsidP="001859C2">
      <w:pPr>
        <w:pStyle w:val="ListParagraph"/>
        <w:numPr>
          <w:ilvl w:val="0"/>
          <w:numId w:val="3"/>
        </w:numPr>
        <w:tabs>
          <w:tab w:val="left" w:pos="567"/>
        </w:tabs>
        <w:ind w:left="567" w:right="140" w:hanging="567"/>
        <w:contextualSpacing/>
        <w:jc w:val="both"/>
        <w:rPr>
          <w:rFonts w:cs="Arial"/>
          <w:szCs w:val="24"/>
        </w:rPr>
      </w:pPr>
      <w:r>
        <w:rPr>
          <w:rFonts w:cs="Arial"/>
          <w:bCs/>
          <w:szCs w:val="24"/>
        </w:rPr>
        <w:t xml:space="preserve">The final </w:t>
      </w:r>
      <w:r w:rsidR="002000B9" w:rsidRPr="001859C2">
        <w:rPr>
          <w:bCs/>
          <w:szCs w:val="24"/>
        </w:rPr>
        <w:t xml:space="preserve">outturn for the </w:t>
      </w:r>
      <w:r w:rsidR="002543B8" w:rsidRPr="001859C2">
        <w:rPr>
          <w:bCs/>
          <w:szCs w:val="24"/>
        </w:rPr>
        <w:t>Place</w:t>
      </w:r>
      <w:r w:rsidR="002000B9" w:rsidRPr="001859C2">
        <w:rPr>
          <w:bCs/>
          <w:szCs w:val="24"/>
        </w:rPr>
        <w:t xml:space="preserve"> Directorate is total spend of £36.260m (52% of budget). Of the variance to budget of £33.545m, a total of £28.847m of funding will be slipped to 2022</w:t>
      </w:r>
      <w:r w:rsidR="00DC02F1" w:rsidRPr="001859C2">
        <w:rPr>
          <w:bCs/>
          <w:szCs w:val="24"/>
        </w:rPr>
        <w:t>-</w:t>
      </w:r>
      <w:r w:rsidR="002000B9" w:rsidRPr="001859C2">
        <w:rPr>
          <w:bCs/>
          <w:szCs w:val="24"/>
        </w:rPr>
        <w:t xml:space="preserve">23 to complete ongoing projects. The underspend of £4.698m results from project underspends (£457k) and projects not going ahead (£4.241m) due to external funding assumed in the programme not materialised. </w:t>
      </w:r>
    </w:p>
    <w:p w14:paraId="6B46815E" w14:textId="77777777" w:rsidR="002000B9" w:rsidRDefault="002000B9" w:rsidP="002000B9">
      <w:pPr>
        <w:pStyle w:val="ListParagraph"/>
        <w:tabs>
          <w:tab w:val="left" w:pos="851"/>
        </w:tabs>
        <w:ind w:left="567" w:hanging="567"/>
        <w:jc w:val="both"/>
        <w:rPr>
          <w:color w:val="FF0000"/>
          <w:szCs w:val="24"/>
        </w:rPr>
      </w:pPr>
    </w:p>
    <w:p w14:paraId="0ADDD994" w14:textId="77777777" w:rsidR="002000B9" w:rsidRDefault="002000B9" w:rsidP="001859C2">
      <w:pPr>
        <w:pStyle w:val="ListParagraph"/>
        <w:tabs>
          <w:tab w:val="left" w:pos="851"/>
        </w:tabs>
        <w:ind w:left="567"/>
        <w:jc w:val="both"/>
        <w:rPr>
          <w:rFonts w:cs="Arial"/>
          <w:szCs w:val="24"/>
        </w:rPr>
      </w:pPr>
      <w:r>
        <w:rPr>
          <w:rFonts w:cs="Arial"/>
          <w:b/>
          <w:szCs w:val="24"/>
        </w:rPr>
        <w:t>Environment</w:t>
      </w:r>
    </w:p>
    <w:p w14:paraId="7BF0C1ED" w14:textId="77777777" w:rsidR="002000B9" w:rsidRDefault="002000B9" w:rsidP="002000B9">
      <w:pPr>
        <w:pStyle w:val="ListParagraph"/>
        <w:tabs>
          <w:tab w:val="left" w:pos="851"/>
        </w:tabs>
        <w:ind w:left="567" w:hanging="567"/>
        <w:rPr>
          <w:rFonts w:cs="Arial"/>
          <w:bCs/>
          <w:szCs w:val="24"/>
        </w:rPr>
      </w:pPr>
    </w:p>
    <w:p w14:paraId="380C520E" w14:textId="59EAAAC0" w:rsidR="002000B9" w:rsidRPr="002000B9" w:rsidRDefault="002000B9" w:rsidP="007A4D31">
      <w:pPr>
        <w:pStyle w:val="ListParagraph"/>
        <w:numPr>
          <w:ilvl w:val="0"/>
          <w:numId w:val="3"/>
        </w:numPr>
        <w:tabs>
          <w:tab w:val="left" w:pos="851"/>
        </w:tabs>
        <w:ind w:left="567" w:hanging="567"/>
        <w:jc w:val="both"/>
        <w:rPr>
          <w:rFonts w:cs="Arial"/>
          <w:szCs w:val="24"/>
        </w:rPr>
      </w:pPr>
      <w:r>
        <w:rPr>
          <w:rFonts w:cs="Arial"/>
          <w:bCs/>
          <w:szCs w:val="24"/>
        </w:rPr>
        <w:t>The services spent £23.712m against a budget of £39.257m. £13.850m of funding is requested to be carried forward to 2022</w:t>
      </w:r>
      <w:r w:rsidR="00DC02F1">
        <w:rPr>
          <w:rFonts w:cs="Arial"/>
          <w:bCs/>
          <w:szCs w:val="24"/>
        </w:rPr>
        <w:t>-</w:t>
      </w:r>
      <w:r>
        <w:rPr>
          <w:rFonts w:cs="Arial"/>
          <w:bCs/>
          <w:szCs w:val="24"/>
        </w:rPr>
        <w:t>23 and relates mainly to the projects listed below. £1.691m of underspend represents TfL projects assumed in the capital programme but not gone ahead because no funding was provided by TfL in 2021/22.</w:t>
      </w:r>
    </w:p>
    <w:p w14:paraId="4BB4BE6D" w14:textId="77777777" w:rsidR="002000B9" w:rsidRPr="002000B9" w:rsidRDefault="002000B9" w:rsidP="002000B9">
      <w:pPr>
        <w:pStyle w:val="ListParagraph"/>
        <w:rPr>
          <w:rFonts w:cs="Arial"/>
          <w:bCs/>
          <w:szCs w:val="24"/>
        </w:rPr>
      </w:pPr>
    </w:p>
    <w:p w14:paraId="69598677" w14:textId="6F48A890" w:rsidR="002000B9" w:rsidRDefault="002000B9" w:rsidP="007A4D31">
      <w:pPr>
        <w:pStyle w:val="ListParagraph"/>
        <w:numPr>
          <w:ilvl w:val="1"/>
          <w:numId w:val="3"/>
        </w:numPr>
        <w:tabs>
          <w:tab w:val="left" w:pos="851"/>
        </w:tabs>
        <w:jc w:val="both"/>
        <w:rPr>
          <w:rFonts w:cs="Arial"/>
          <w:szCs w:val="24"/>
        </w:rPr>
      </w:pPr>
      <w:r w:rsidRPr="002000B9">
        <w:rPr>
          <w:rFonts w:cs="Arial"/>
          <w:bCs/>
          <w:szCs w:val="24"/>
        </w:rPr>
        <w:t>Bannister café (£257k). Although works were resumed following the delay caused by the pandemic, these were paused due to additional costs claimed by the contractor. This is subject to on-going negotiations to resolve this, and therefore it is anticipated that the project will now be completed in 2022</w:t>
      </w:r>
      <w:r w:rsidR="00DC02F1">
        <w:rPr>
          <w:rFonts w:cs="Arial"/>
          <w:bCs/>
          <w:szCs w:val="24"/>
        </w:rPr>
        <w:t>-</w:t>
      </w:r>
      <w:r w:rsidRPr="002000B9">
        <w:rPr>
          <w:rFonts w:cs="Arial"/>
          <w:bCs/>
          <w:szCs w:val="24"/>
        </w:rPr>
        <w:t xml:space="preserve">23.  </w:t>
      </w:r>
      <w:r w:rsidRPr="002000B9">
        <w:rPr>
          <w:rFonts w:cs="Arial"/>
          <w:szCs w:val="24"/>
        </w:rPr>
        <w:t>The redeveloped building is expected to generate a rent income which has been assumed in the existing MTFS with a saving of £36k profiled in 2021</w:t>
      </w:r>
      <w:r w:rsidR="00DC02F1">
        <w:rPr>
          <w:rFonts w:cs="Arial"/>
          <w:szCs w:val="24"/>
        </w:rPr>
        <w:t>-</w:t>
      </w:r>
      <w:r w:rsidRPr="002000B9">
        <w:rPr>
          <w:rFonts w:cs="Arial"/>
          <w:szCs w:val="24"/>
        </w:rPr>
        <w:t>22</w:t>
      </w:r>
      <w:r>
        <w:rPr>
          <w:rFonts w:cs="Arial"/>
          <w:szCs w:val="24"/>
        </w:rPr>
        <w:t>.</w:t>
      </w:r>
    </w:p>
    <w:p w14:paraId="51BF8FA7" w14:textId="77777777" w:rsidR="002000B9" w:rsidRDefault="002000B9" w:rsidP="002000B9">
      <w:pPr>
        <w:pStyle w:val="ListParagraph"/>
        <w:tabs>
          <w:tab w:val="left" w:pos="851"/>
        </w:tabs>
        <w:ind w:left="1440"/>
        <w:jc w:val="both"/>
        <w:rPr>
          <w:rFonts w:cs="Arial"/>
          <w:szCs w:val="24"/>
        </w:rPr>
      </w:pPr>
    </w:p>
    <w:p w14:paraId="0985E32C" w14:textId="702F627F"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t xml:space="preserve">CA site infrastructure (£78k). The funding is set aside for a new shelter for dry recyclables which will keep the waste dry before being taken by the disposal contractor. The procurement process is </w:t>
      </w:r>
      <w:r w:rsidR="00E136DA" w:rsidRPr="002000B9">
        <w:rPr>
          <w:rFonts w:cs="Arial"/>
          <w:bCs/>
          <w:szCs w:val="24"/>
        </w:rPr>
        <w:t>underway,</w:t>
      </w:r>
      <w:r w:rsidRPr="002000B9">
        <w:rPr>
          <w:rFonts w:cs="Arial"/>
          <w:bCs/>
          <w:szCs w:val="24"/>
        </w:rPr>
        <w:t xml:space="preserve"> and the project will be implemented in 2022</w:t>
      </w:r>
      <w:r w:rsidR="00DC02F1">
        <w:rPr>
          <w:rFonts w:cs="Arial"/>
          <w:bCs/>
          <w:szCs w:val="24"/>
        </w:rPr>
        <w:t>-</w:t>
      </w:r>
      <w:r w:rsidRPr="002000B9">
        <w:rPr>
          <w:rFonts w:cs="Arial"/>
          <w:bCs/>
          <w:szCs w:val="24"/>
        </w:rPr>
        <w:t>23.</w:t>
      </w:r>
    </w:p>
    <w:p w14:paraId="7068BC3D" w14:textId="77777777" w:rsidR="002000B9" w:rsidRPr="002000B9" w:rsidRDefault="002000B9" w:rsidP="002000B9">
      <w:pPr>
        <w:pStyle w:val="ListParagraph"/>
        <w:rPr>
          <w:rFonts w:cs="Arial"/>
          <w:bCs/>
          <w:szCs w:val="24"/>
        </w:rPr>
      </w:pPr>
    </w:p>
    <w:p w14:paraId="39A999F3" w14:textId="31B13C55"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t xml:space="preserve">CCTV cameras (£50k) and CCTV Infrastructure (£1.243m). Additional cameras for parking enforcement have been ordered to utilise the carry forward budget of £50k. The procurement of the CCTV infrastructure upgrade is now </w:t>
      </w:r>
      <w:r w:rsidR="00E136DA" w:rsidRPr="002000B9">
        <w:rPr>
          <w:rFonts w:cs="Arial"/>
          <w:bCs/>
          <w:szCs w:val="24"/>
        </w:rPr>
        <w:t>concluded,</w:t>
      </w:r>
      <w:r w:rsidRPr="002000B9">
        <w:rPr>
          <w:rFonts w:cs="Arial"/>
          <w:bCs/>
          <w:szCs w:val="24"/>
        </w:rPr>
        <w:t xml:space="preserve"> and the new CCTV Control room will be installed in 2022</w:t>
      </w:r>
      <w:r w:rsidR="00DC02F1">
        <w:rPr>
          <w:rFonts w:cs="Arial"/>
          <w:bCs/>
          <w:szCs w:val="24"/>
        </w:rPr>
        <w:t>-</w:t>
      </w:r>
      <w:r w:rsidRPr="002000B9">
        <w:rPr>
          <w:rFonts w:cs="Arial"/>
          <w:bCs/>
          <w:szCs w:val="24"/>
        </w:rPr>
        <w:t>23.</w:t>
      </w:r>
    </w:p>
    <w:p w14:paraId="3A83CD6E" w14:textId="77777777" w:rsidR="002000B9" w:rsidRPr="002000B9" w:rsidRDefault="002000B9" w:rsidP="002000B9">
      <w:pPr>
        <w:pStyle w:val="ListParagraph"/>
        <w:rPr>
          <w:rFonts w:cs="Arial"/>
          <w:bCs/>
          <w:szCs w:val="24"/>
        </w:rPr>
      </w:pPr>
    </w:p>
    <w:p w14:paraId="7F9BB10B" w14:textId="03C9CC52"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lastRenderedPageBreak/>
        <w:t>Depot redevelopment (£3.439m). The redevelopment project is almost complete, with outstanding works in external areas and the decommissioning of temporary building scheduled to be completed in early 2022</w:t>
      </w:r>
      <w:r w:rsidR="00DC02F1">
        <w:rPr>
          <w:rFonts w:cs="Arial"/>
          <w:bCs/>
          <w:szCs w:val="24"/>
        </w:rPr>
        <w:t>-</w:t>
      </w:r>
      <w:r w:rsidRPr="002000B9">
        <w:rPr>
          <w:rFonts w:cs="Arial"/>
          <w:bCs/>
          <w:szCs w:val="24"/>
        </w:rPr>
        <w:t xml:space="preserve">23. The majority of furniture was delivered and installed in early April and the cost of this will be funded from the carry forward budget as well. </w:t>
      </w:r>
    </w:p>
    <w:p w14:paraId="12E3F992" w14:textId="77777777" w:rsidR="002000B9" w:rsidRPr="002000B9" w:rsidRDefault="002000B9" w:rsidP="002000B9">
      <w:pPr>
        <w:pStyle w:val="ListParagraph"/>
        <w:rPr>
          <w:rFonts w:cs="Arial"/>
          <w:szCs w:val="24"/>
        </w:rPr>
      </w:pPr>
    </w:p>
    <w:p w14:paraId="60AA66A4" w14:textId="51BD77C3" w:rsidR="002000B9" w:rsidRDefault="002000B9" w:rsidP="007A4D31">
      <w:pPr>
        <w:pStyle w:val="ListParagraph"/>
        <w:numPr>
          <w:ilvl w:val="1"/>
          <w:numId w:val="3"/>
        </w:numPr>
        <w:tabs>
          <w:tab w:val="left" w:pos="851"/>
        </w:tabs>
        <w:jc w:val="both"/>
        <w:rPr>
          <w:rFonts w:cs="Arial"/>
          <w:szCs w:val="24"/>
        </w:rPr>
      </w:pPr>
      <w:r w:rsidRPr="002000B9">
        <w:rPr>
          <w:rFonts w:cs="Arial"/>
          <w:szCs w:val="24"/>
        </w:rPr>
        <w:t>Flood Defence and Highways Drainage (£97k). Some of the works ordered were not completed in 2021</w:t>
      </w:r>
      <w:r w:rsidR="00DC02F1">
        <w:rPr>
          <w:rFonts w:cs="Arial"/>
          <w:szCs w:val="24"/>
        </w:rPr>
        <w:t>-</w:t>
      </w:r>
      <w:r w:rsidRPr="002000B9">
        <w:rPr>
          <w:rFonts w:cs="Arial"/>
          <w:szCs w:val="24"/>
        </w:rPr>
        <w:t>22, and therefore the budget is carried forward to 2022/23 to fund these existing commitments.</w:t>
      </w:r>
    </w:p>
    <w:p w14:paraId="04309A37" w14:textId="77777777" w:rsidR="002000B9" w:rsidRPr="002000B9" w:rsidRDefault="002000B9" w:rsidP="002000B9">
      <w:pPr>
        <w:pStyle w:val="ListParagraph"/>
        <w:rPr>
          <w:rFonts w:cs="Arial"/>
          <w:szCs w:val="24"/>
        </w:rPr>
      </w:pPr>
    </w:p>
    <w:p w14:paraId="0C5829A4" w14:textId="77777777" w:rsidR="002000B9" w:rsidRDefault="002000B9" w:rsidP="007A4D31">
      <w:pPr>
        <w:pStyle w:val="ListParagraph"/>
        <w:numPr>
          <w:ilvl w:val="1"/>
          <w:numId w:val="3"/>
        </w:numPr>
        <w:tabs>
          <w:tab w:val="left" w:pos="851"/>
        </w:tabs>
        <w:jc w:val="both"/>
        <w:rPr>
          <w:rFonts w:cs="Arial"/>
          <w:szCs w:val="24"/>
        </w:rPr>
      </w:pPr>
      <w:r w:rsidRPr="002000B9">
        <w:rPr>
          <w:rFonts w:cs="Arial"/>
          <w:szCs w:val="24"/>
        </w:rPr>
        <w:t xml:space="preserve">Harrow Green Grid (£20k). The installation of parks noticeboards and signs was delayed due to volunteer inputs and supplier issues. </w:t>
      </w:r>
    </w:p>
    <w:p w14:paraId="2D422157" w14:textId="77777777" w:rsidR="002000B9" w:rsidRPr="002000B9" w:rsidRDefault="002000B9" w:rsidP="002000B9">
      <w:pPr>
        <w:pStyle w:val="ListParagraph"/>
        <w:rPr>
          <w:rFonts w:cs="Arial"/>
          <w:bCs/>
          <w:szCs w:val="24"/>
        </w:rPr>
      </w:pPr>
    </w:p>
    <w:p w14:paraId="5EAB3F66" w14:textId="3048902F"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t xml:space="preserve">High Priority Planned Maintenance (£836k). The project at </w:t>
      </w:r>
      <w:proofErr w:type="spellStart"/>
      <w:r w:rsidRPr="002000B9">
        <w:rPr>
          <w:rFonts w:cs="Arial"/>
          <w:bCs/>
          <w:szCs w:val="24"/>
        </w:rPr>
        <w:t>Sancroft</w:t>
      </w:r>
      <w:proofErr w:type="spellEnd"/>
      <w:r w:rsidRPr="002000B9">
        <w:rPr>
          <w:rFonts w:cs="Arial"/>
          <w:bCs/>
          <w:szCs w:val="24"/>
        </w:rPr>
        <w:t xml:space="preserve"> (£205k) was delayed as it was being revisited to determine the phasing of the work to minimise disruptions to residents. The roof repair work at Hatch End swimming pool will now be completed in 2022</w:t>
      </w:r>
      <w:r w:rsidR="00DC02F1">
        <w:rPr>
          <w:rFonts w:cs="Arial"/>
          <w:bCs/>
          <w:szCs w:val="24"/>
        </w:rPr>
        <w:t>-</w:t>
      </w:r>
      <w:r w:rsidRPr="002000B9">
        <w:rPr>
          <w:rFonts w:cs="Arial"/>
          <w:bCs/>
          <w:szCs w:val="24"/>
        </w:rPr>
        <w:t>23 due to supply chain issues. The remaining budget in the programme is carried forward to 2022</w:t>
      </w:r>
      <w:r w:rsidR="00DC02F1">
        <w:rPr>
          <w:rFonts w:cs="Arial"/>
          <w:bCs/>
          <w:szCs w:val="24"/>
        </w:rPr>
        <w:t>-</w:t>
      </w:r>
      <w:r w:rsidRPr="002000B9">
        <w:rPr>
          <w:rFonts w:cs="Arial"/>
          <w:bCs/>
          <w:szCs w:val="24"/>
        </w:rPr>
        <w:t xml:space="preserve">23 to fund Health &amp; Safety works identified from condition survey. </w:t>
      </w:r>
    </w:p>
    <w:p w14:paraId="6AAC10AE" w14:textId="77777777" w:rsidR="002000B9" w:rsidRPr="002000B9" w:rsidRDefault="002000B9" w:rsidP="002000B9">
      <w:pPr>
        <w:pStyle w:val="ListParagraph"/>
        <w:rPr>
          <w:rFonts w:cs="Arial"/>
          <w:szCs w:val="24"/>
        </w:rPr>
      </w:pPr>
    </w:p>
    <w:p w14:paraId="4569132E" w14:textId="634FD830" w:rsidR="002000B9" w:rsidRDefault="002000B9" w:rsidP="007A4D31">
      <w:pPr>
        <w:pStyle w:val="ListParagraph"/>
        <w:numPr>
          <w:ilvl w:val="1"/>
          <w:numId w:val="3"/>
        </w:numPr>
        <w:tabs>
          <w:tab w:val="left" w:pos="851"/>
        </w:tabs>
        <w:jc w:val="both"/>
        <w:rPr>
          <w:rFonts w:cs="Arial"/>
          <w:szCs w:val="24"/>
        </w:rPr>
      </w:pPr>
      <w:r w:rsidRPr="002000B9">
        <w:rPr>
          <w:rFonts w:cs="Arial"/>
          <w:szCs w:val="24"/>
        </w:rPr>
        <w:t>Highway Programme (£1.566m) and Street Lighting Programme (£699k). Some of the projects were not fully completed in 2021</w:t>
      </w:r>
      <w:r w:rsidR="00DC02F1">
        <w:rPr>
          <w:rFonts w:cs="Arial"/>
          <w:szCs w:val="24"/>
        </w:rPr>
        <w:t>-</w:t>
      </w:r>
      <w:r w:rsidRPr="002000B9">
        <w:rPr>
          <w:rFonts w:cs="Arial"/>
          <w:szCs w:val="24"/>
        </w:rPr>
        <w:t>22. The budget is carried forward to 2022</w:t>
      </w:r>
      <w:r w:rsidR="00DC02F1">
        <w:rPr>
          <w:rFonts w:cs="Arial"/>
          <w:szCs w:val="24"/>
        </w:rPr>
        <w:t>-</w:t>
      </w:r>
      <w:r w:rsidRPr="002000B9">
        <w:rPr>
          <w:rFonts w:cs="Arial"/>
          <w:szCs w:val="24"/>
        </w:rPr>
        <w:t>23 to fund existing commitments.</w:t>
      </w:r>
    </w:p>
    <w:p w14:paraId="6B1196DD" w14:textId="77777777" w:rsidR="002000B9" w:rsidRPr="002000B9" w:rsidRDefault="002000B9" w:rsidP="002000B9">
      <w:pPr>
        <w:pStyle w:val="ListParagraph"/>
        <w:rPr>
          <w:rFonts w:cs="Arial"/>
          <w:szCs w:val="24"/>
        </w:rPr>
      </w:pPr>
    </w:p>
    <w:p w14:paraId="37D849CB" w14:textId="77777777" w:rsidR="002000B9" w:rsidRDefault="002000B9" w:rsidP="007A4D31">
      <w:pPr>
        <w:pStyle w:val="ListParagraph"/>
        <w:numPr>
          <w:ilvl w:val="1"/>
          <w:numId w:val="3"/>
        </w:numPr>
        <w:tabs>
          <w:tab w:val="left" w:pos="851"/>
        </w:tabs>
        <w:jc w:val="both"/>
        <w:rPr>
          <w:rFonts w:cs="Arial"/>
          <w:szCs w:val="24"/>
        </w:rPr>
      </w:pPr>
      <w:r w:rsidRPr="002000B9">
        <w:rPr>
          <w:rFonts w:cs="Arial"/>
          <w:szCs w:val="24"/>
        </w:rPr>
        <w:t>Litter Bin Project (£18k). External funding from WRAP was secured to install litter bins outside schools. The bins have been ordered and will be installed once they are delivered.</w:t>
      </w:r>
    </w:p>
    <w:p w14:paraId="7F93AFD5" w14:textId="77777777" w:rsidR="002000B9" w:rsidRPr="002000B9" w:rsidRDefault="002000B9" w:rsidP="002000B9">
      <w:pPr>
        <w:pStyle w:val="ListParagraph"/>
        <w:rPr>
          <w:rFonts w:cs="Arial"/>
          <w:szCs w:val="24"/>
        </w:rPr>
      </w:pPr>
    </w:p>
    <w:p w14:paraId="7A7FD269" w14:textId="00E4B88E" w:rsidR="002000B9" w:rsidRDefault="002000B9" w:rsidP="007A4D31">
      <w:pPr>
        <w:pStyle w:val="ListParagraph"/>
        <w:numPr>
          <w:ilvl w:val="1"/>
          <w:numId w:val="3"/>
        </w:numPr>
        <w:tabs>
          <w:tab w:val="left" w:pos="851"/>
        </w:tabs>
        <w:jc w:val="both"/>
        <w:rPr>
          <w:rFonts w:cs="Arial"/>
          <w:szCs w:val="24"/>
        </w:rPr>
      </w:pPr>
      <w:r w:rsidRPr="002000B9">
        <w:rPr>
          <w:rFonts w:cs="Arial"/>
          <w:szCs w:val="24"/>
        </w:rPr>
        <w:t>Parking Management Programme (£145k). Some of the schemes were delayed, but works are continuing into 2022</w:t>
      </w:r>
      <w:r w:rsidR="00DC02F1">
        <w:rPr>
          <w:rFonts w:cs="Arial"/>
          <w:szCs w:val="24"/>
        </w:rPr>
        <w:t>-</w:t>
      </w:r>
      <w:r w:rsidRPr="002000B9">
        <w:rPr>
          <w:rFonts w:cs="Arial"/>
          <w:szCs w:val="24"/>
        </w:rPr>
        <w:t xml:space="preserve">23 and the proposed measures will be implemented subject to the outcome of relevant consultations. </w:t>
      </w:r>
    </w:p>
    <w:p w14:paraId="14B800E1" w14:textId="77777777" w:rsidR="002000B9" w:rsidRPr="002000B9" w:rsidRDefault="002000B9" w:rsidP="002000B9">
      <w:pPr>
        <w:pStyle w:val="ListParagraph"/>
        <w:rPr>
          <w:rFonts w:cs="Arial"/>
          <w:szCs w:val="24"/>
        </w:rPr>
      </w:pPr>
    </w:p>
    <w:p w14:paraId="5713D045" w14:textId="55E58337" w:rsidR="002000B9" w:rsidRPr="002000B9" w:rsidRDefault="002000B9" w:rsidP="007A4D31">
      <w:pPr>
        <w:pStyle w:val="ListParagraph"/>
        <w:numPr>
          <w:ilvl w:val="1"/>
          <w:numId w:val="3"/>
        </w:numPr>
        <w:tabs>
          <w:tab w:val="left" w:pos="851"/>
        </w:tabs>
        <w:jc w:val="both"/>
        <w:rPr>
          <w:rFonts w:cs="Arial"/>
          <w:szCs w:val="24"/>
        </w:rPr>
      </w:pPr>
      <w:r w:rsidRPr="002000B9">
        <w:rPr>
          <w:rFonts w:cs="Arial"/>
          <w:szCs w:val="24"/>
        </w:rPr>
        <w:t xml:space="preserve">Parks Infrastructure (£471k) and Parks Playground improvement (£46k). A few projects such as Cedar Gate posts and Bernays Garden wall are on-going following successful external funding applications. </w:t>
      </w:r>
      <w:r w:rsidRPr="002000B9">
        <w:rPr>
          <w:rFonts w:cs="Arial"/>
          <w:bCs/>
          <w:szCs w:val="24"/>
        </w:rPr>
        <w:t>The remaining budget in the programme is carried forward to 2022</w:t>
      </w:r>
      <w:r w:rsidR="00DC02F1">
        <w:rPr>
          <w:rFonts w:cs="Arial"/>
          <w:bCs/>
          <w:szCs w:val="24"/>
        </w:rPr>
        <w:t>-</w:t>
      </w:r>
      <w:r w:rsidRPr="002000B9">
        <w:rPr>
          <w:rFonts w:cs="Arial"/>
          <w:bCs/>
          <w:szCs w:val="24"/>
        </w:rPr>
        <w:t>23 to fund Health &amp; Safety works in Parks.</w:t>
      </w:r>
    </w:p>
    <w:p w14:paraId="2E29C1BB" w14:textId="77777777" w:rsidR="002000B9" w:rsidRPr="002000B9" w:rsidRDefault="002000B9" w:rsidP="002000B9">
      <w:pPr>
        <w:pStyle w:val="ListParagraph"/>
        <w:rPr>
          <w:rFonts w:cs="Arial"/>
          <w:szCs w:val="24"/>
        </w:rPr>
      </w:pPr>
    </w:p>
    <w:p w14:paraId="7F0805E3" w14:textId="31FCAD8B" w:rsidR="002000B9" w:rsidRDefault="002000B9" w:rsidP="007A4D31">
      <w:pPr>
        <w:pStyle w:val="ListParagraph"/>
        <w:numPr>
          <w:ilvl w:val="1"/>
          <w:numId w:val="3"/>
        </w:numPr>
        <w:tabs>
          <w:tab w:val="left" w:pos="851"/>
        </w:tabs>
        <w:jc w:val="both"/>
        <w:rPr>
          <w:rFonts w:cs="Arial"/>
          <w:szCs w:val="24"/>
        </w:rPr>
      </w:pPr>
      <w:r w:rsidRPr="002000B9">
        <w:rPr>
          <w:rFonts w:cs="Arial"/>
          <w:szCs w:val="24"/>
        </w:rPr>
        <w:t>Public Sector Decarbonisation Scheme (£1.962m) and Carbon Offset Fund (£136k). External funding was secured to deliver energy efficiency measures across school sites and corporate buildings. These projects are on-going and will be completed in 2022</w:t>
      </w:r>
      <w:r w:rsidR="00DC02F1">
        <w:rPr>
          <w:rFonts w:cs="Arial"/>
          <w:szCs w:val="24"/>
        </w:rPr>
        <w:t>-</w:t>
      </w:r>
      <w:r w:rsidRPr="002000B9">
        <w:rPr>
          <w:rFonts w:cs="Arial"/>
          <w:szCs w:val="24"/>
        </w:rPr>
        <w:t>23.</w:t>
      </w:r>
    </w:p>
    <w:p w14:paraId="71D6D55D" w14:textId="77777777" w:rsidR="002000B9" w:rsidRPr="002000B9" w:rsidRDefault="002000B9" w:rsidP="002000B9">
      <w:pPr>
        <w:pStyle w:val="ListParagraph"/>
        <w:rPr>
          <w:rFonts w:cs="Arial"/>
          <w:szCs w:val="24"/>
        </w:rPr>
      </w:pPr>
    </w:p>
    <w:p w14:paraId="4E830D65" w14:textId="77777777" w:rsidR="002000B9" w:rsidRPr="002000B9" w:rsidRDefault="002000B9" w:rsidP="007A4D31">
      <w:pPr>
        <w:pStyle w:val="ListParagraph"/>
        <w:numPr>
          <w:ilvl w:val="1"/>
          <w:numId w:val="3"/>
        </w:numPr>
        <w:tabs>
          <w:tab w:val="left" w:pos="851"/>
        </w:tabs>
        <w:jc w:val="both"/>
        <w:rPr>
          <w:rFonts w:cs="Arial"/>
          <w:szCs w:val="24"/>
        </w:rPr>
      </w:pPr>
      <w:r w:rsidRPr="002000B9">
        <w:rPr>
          <w:rFonts w:cs="Arial"/>
          <w:szCs w:val="24"/>
        </w:rPr>
        <w:t xml:space="preserve">Waste and Recycling (£122k). </w:t>
      </w:r>
      <w:r w:rsidRPr="002000B9">
        <w:rPr>
          <w:rFonts w:cs="Arial"/>
          <w:bCs/>
          <w:szCs w:val="24"/>
        </w:rPr>
        <w:t>Bin orders were placed but the delivery was delayed due to long lead in time from the manufacturers.</w:t>
      </w:r>
    </w:p>
    <w:p w14:paraId="14A5B2D6" w14:textId="77777777" w:rsidR="002000B9" w:rsidRPr="002000B9" w:rsidRDefault="002000B9" w:rsidP="002000B9">
      <w:pPr>
        <w:pStyle w:val="ListParagraph"/>
        <w:rPr>
          <w:rFonts w:cs="Arial"/>
          <w:szCs w:val="24"/>
        </w:rPr>
      </w:pPr>
    </w:p>
    <w:p w14:paraId="18F96486" w14:textId="5010D069" w:rsidR="002000B9" w:rsidRDefault="002000B9" w:rsidP="007A4D31">
      <w:pPr>
        <w:pStyle w:val="ListParagraph"/>
        <w:numPr>
          <w:ilvl w:val="1"/>
          <w:numId w:val="3"/>
        </w:numPr>
        <w:tabs>
          <w:tab w:val="left" w:pos="851"/>
        </w:tabs>
        <w:jc w:val="both"/>
        <w:rPr>
          <w:rFonts w:cs="Arial"/>
          <w:szCs w:val="24"/>
        </w:rPr>
      </w:pPr>
      <w:r w:rsidRPr="002000B9">
        <w:rPr>
          <w:rFonts w:cs="Arial"/>
          <w:szCs w:val="24"/>
        </w:rPr>
        <w:lastRenderedPageBreak/>
        <w:t>Wealdstone Future High Street Fund (£1.368m). This is a multiple year project, funded by DLUHC and BCIL funding, for the construction of a footbridge and implementing Intelligent High Street. There was a delay in obtaining planning permission and land acquisition in 2021/22, therefore the funding is carried forward into 2022</w:t>
      </w:r>
      <w:r w:rsidR="00DC02F1">
        <w:rPr>
          <w:rFonts w:cs="Arial"/>
          <w:szCs w:val="24"/>
        </w:rPr>
        <w:t>-</w:t>
      </w:r>
      <w:r w:rsidRPr="002000B9">
        <w:rPr>
          <w:rFonts w:cs="Arial"/>
          <w:szCs w:val="24"/>
        </w:rPr>
        <w:t>23 to continue the project.</w:t>
      </w:r>
    </w:p>
    <w:p w14:paraId="32922885" w14:textId="77777777" w:rsidR="002000B9" w:rsidRPr="002000B9" w:rsidRDefault="002000B9" w:rsidP="002000B9">
      <w:pPr>
        <w:pStyle w:val="ListParagraph"/>
        <w:rPr>
          <w:rFonts w:cs="Arial"/>
          <w:szCs w:val="24"/>
        </w:rPr>
      </w:pPr>
    </w:p>
    <w:p w14:paraId="371205E6" w14:textId="2B05943E" w:rsidR="002000B9" w:rsidRDefault="002000B9" w:rsidP="007A4D31">
      <w:pPr>
        <w:pStyle w:val="ListParagraph"/>
        <w:numPr>
          <w:ilvl w:val="1"/>
          <w:numId w:val="3"/>
        </w:numPr>
        <w:tabs>
          <w:tab w:val="left" w:pos="851"/>
        </w:tabs>
        <w:jc w:val="both"/>
        <w:rPr>
          <w:rFonts w:cs="Arial"/>
          <w:szCs w:val="24"/>
        </w:rPr>
      </w:pPr>
      <w:r w:rsidRPr="002000B9">
        <w:rPr>
          <w:rFonts w:cs="Arial"/>
          <w:szCs w:val="24"/>
        </w:rPr>
        <w:t>Wealdstone Bus Improvement scheme (£962k). The project was delayed due to material / supply problems and the delayed statutory undertaker diversionary works, therefore will now be completed in 2022</w:t>
      </w:r>
      <w:r w:rsidR="00DC02F1">
        <w:rPr>
          <w:rFonts w:cs="Arial"/>
          <w:szCs w:val="24"/>
        </w:rPr>
        <w:t>-</w:t>
      </w:r>
      <w:r w:rsidRPr="002000B9">
        <w:rPr>
          <w:rFonts w:cs="Arial"/>
          <w:szCs w:val="24"/>
        </w:rPr>
        <w:t>23.</w:t>
      </w:r>
    </w:p>
    <w:p w14:paraId="497929BD" w14:textId="77777777" w:rsidR="002000B9" w:rsidRPr="002000B9" w:rsidRDefault="002000B9" w:rsidP="002000B9">
      <w:pPr>
        <w:pStyle w:val="ListParagraph"/>
        <w:rPr>
          <w:rFonts w:cs="Arial"/>
          <w:szCs w:val="24"/>
        </w:rPr>
      </w:pPr>
    </w:p>
    <w:p w14:paraId="2883DCE9" w14:textId="4D14EE97" w:rsidR="002000B9" w:rsidRPr="002000B9" w:rsidRDefault="002000B9" w:rsidP="007A4D31">
      <w:pPr>
        <w:pStyle w:val="ListParagraph"/>
        <w:numPr>
          <w:ilvl w:val="1"/>
          <w:numId w:val="3"/>
        </w:numPr>
        <w:tabs>
          <w:tab w:val="left" w:pos="851"/>
        </w:tabs>
        <w:jc w:val="both"/>
        <w:rPr>
          <w:rFonts w:cs="Arial"/>
          <w:szCs w:val="24"/>
        </w:rPr>
      </w:pPr>
      <w:r w:rsidRPr="002000B9">
        <w:rPr>
          <w:rFonts w:cs="Arial"/>
          <w:szCs w:val="24"/>
        </w:rPr>
        <w:t>Food Waste project (£335k). The project is underway. Bins have been purchased and are being installed at identified sites as part of the pilot scheme.</w:t>
      </w:r>
    </w:p>
    <w:p w14:paraId="65BEA265" w14:textId="77777777" w:rsidR="002000B9" w:rsidRDefault="002000B9" w:rsidP="002000B9">
      <w:pPr>
        <w:pStyle w:val="ListParagraph"/>
        <w:tabs>
          <w:tab w:val="left" w:pos="851"/>
        </w:tabs>
        <w:ind w:left="567" w:hanging="567"/>
        <w:rPr>
          <w:rFonts w:cs="Arial"/>
          <w:bCs/>
          <w:szCs w:val="24"/>
        </w:rPr>
      </w:pPr>
    </w:p>
    <w:p w14:paraId="5D68EF08" w14:textId="77777777" w:rsidR="002000B9" w:rsidRDefault="002000B9" w:rsidP="007A4D31">
      <w:pPr>
        <w:pStyle w:val="ListParagraph"/>
        <w:numPr>
          <w:ilvl w:val="0"/>
          <w:numId w:val="3"/>
        </w:numPr>
        <w:tabs>
          <w:tab w:val="left" w:pos="851"/>
        </w:tabs>
        <w:ind w:left="567" w:hanging="567"/>
        <w:jc w:val="both"/>
        <w:rPr>
          <w:rFonts w:cs="Arial"/>
          <w:szCs w:val="24"/>
        </w:rPr>
      </w:pPr>
      <w:r>
        <w:rPr>
          <w:rFonts w:cs="Arial"/>
          <w:bCs/>
          <w:szCs w:val="24"/>
        </w:rPr>
        <w:t>Unless stated otherwise, the slippage has no implications on the revenue budget.</w:t>
      </w:r>
    </w:p>
    <w:p w14:paraId="1DA6E6CA" w14:textId="77777777" w:rsidR="002000B9" w:rsidRDefault="002000B9" w:rsidP="002000B9">
      <w:pPr>
        <w:pStyle w:val="ListParagraph"/>
        <w:tabs>
          <w:tab w:val="left" w:pos="851"/>
        </w:tabs>
        <w:ind w:left="567" w:hanging="567"/>
        <w:jc w:val="both"/>
        <w:rPr>
          <w:rFonts w:cs="Arial"/>
          <w:szCs w:val="24"/>
        </w:rPr>
      </w:pPr>
    </w:p>
    <w:p w14:paraId="26F0A7E7" w14:textId="77777777" w:rsidR="002000B9" w:rsidRDefault="002000B9" w:rsidP="002000B9">
      <w:pPr>
        <w:pStyle w:val="ListParagraph"/>
        <w:tabs>
          <w:tab w:val="left" w:pos="851"/>
        </w:tabs>
        <w:ind w:left="567"/>
        <w:jc w:val="both"/>
        <w:rPr>
          <w:rFonts w:cs="Arial"/>
          <w:szCs w:val="24"/>
        </w:rPr>
      </w:pPr>
      <w:r>
        <w:rPr>
          <w:rFonts w:cs="Arial"/>
          <w:b/>
          <w:szCs w:val="24"/>
        </w:rPr>
        <w:t>Culture</w:t>
      </w:r>
    </w:p>
    <w:p w14:paraId="79661E8F" w14:textId="77777777" w:rsidR="002000B9" w:rsidRDefault="002000B9" w:rsidP="002000B9">
      <w:pPr>
        <w:pStyle w:val="ListParagraph"/>
        <w:tabs>
          <w:tab w:val="left" w:pos="851"/>
        </w:tabs>
        <w:ind w:left="567" w:hanging="567"/>
        <w:rPr>
          <w:rFonts w:cs="Arial"/>
          <w:bCs/>
          <w:szCs w:val="24"/>
        </w:rPr>
      </w:pPr>
    </w:p>
    <w:p w14:paraId="46D72DCE" w14:textId="0D7665B6" w:rsidR="002000B9" w:rsidRPr="002000B9" w:rsidRDefault="002000B9" w:rsidP="007A4D31">
      <w:pPr>
        <w:pStyle w:val="ListParagraph"/>
        <w:numPr>
          <w:ilvl w:val="0"/>
          <w:numId w:val="3"/>
        </w:numPr>
        <w:tabs>
          <w:tab w:val="left" w:pos="851"/>
        </w:tabs>
        <w:ind w:left="567" w:hanging="567"/>
        <w:jc w:val="both"/>
        <w:rPr>
          <w:rFonts w:cs="Arial"/>
          <w:szCs w:val="24"/>
        </w:rPr>
      </w:pPr>
      <w:r>
        <w:rPr>
          <w:rFonts w:cs="Arial"/>
          <w:bCs/>
          <w:szCs w:val="24"/>
        </w:rPr>
        <w:t>The services spent £579k against a budget of £2.958m. £2.351m of funding is requested to be carried forward to 2022</w:t>
      </w:r>
      <w:r w:rsidR="00DC02F1">
        <w:rPr>
          <w:rFonts w:cs="Arial"/>
          <w:bCs/>
          <w:szCs w:val="24"/>
        </w:rPr>
        <w:t>-</w:t>
      </w:r>
      <w:r>
        <w:rPr>
          <w:rFonts w:cs="Arial"/>
          <w:bCs/>
          <w:szCs w:val="24"/>
        </w:rPr>
        <w:t>23 and relates mainly to the following projects. £28k is reported as underspend for projects already completed.</w:t>
      </w:r>
    </w:p>
    <w:p w14:paraId="4805034A" w14:textId="77777777" w:rsidR="002000B9" w:rsidRPr="002000B9" w:rsidRDefault="002000B9" w:rsidP="002000B9">
      <w:pPr>
        <w:pStyle w:val="ListParagraph"/>
        <w:rPr>
          <w:rFonts w:cs="Arial"/>
          <w:bCs/>
          <w:szCs w:val="24"/>
        </w:rPr>
      </w:pPr>
    </w:p>
    <w:p w14:paraId="0FC64881" w14:textId="3C6A834C"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t>Harrow Arts Centre (£2.008m). This project is externally funded. Phase 2 project was delayed because the work had to be re-tendered during the year. A new contractor has now been appointed to complete the work in 2022</w:t>
      </w:r>
      <w:r w:rsidR="00DC02F1">
        <w:rPr>
          <w:rFonts w:cs="Arial"/>
          <w:bCs/>
          <w:szCs w:val="24"/>
        </w:rPr>
        <w:t>-</w:t>
      </w:r>
      <w:r w:rsidRPr="002000B9">
        <w:rPr>
          <w:rFonts w:cs="Arial"/>
          <w:bCs/>
          <w:szCs w:val="24"/>
        </w:rPr>
        <w:t>23.</w:t>
      </w:r>
    </w:p>
    <w:p w14:paraId="33E5F53D" w14:textId="77777777" w:rsidR="002000B9" w:rsidRPr="002000B9" w:rsidRDefault="002000B9" w:rsidP="002000B9">
      <w:pPr>
        <w:pStyle w:val="ListParagraph"/>
        <w:tabs>
          <w:tab w:val="left" w:pos="851"/>
        </w:tabs>
        <w:ind w:left="1440"/>
        <w:jc w:val="both"/>
        <w:rPr>
          <w:rFonts w:cs="Arial"/>
          <w:szCs w:val="24"/>
        </w:rPr>
      </w:pPr>
    </w:p>
    <w:p w14:paraId="0CA17DC4" w14:textId="5B26F363" w:rsidR="002000B9" w:rsidRPr="002000B9" w:rsidRDefault="002000B9" w:rsidP="007A4D31">
      <w:pPr>
        <w:pStyle w:val="ListParagraph"/>
        <w:numPr>
          <w:ilvl w:val="1"/>
          <w:numId w:val="3"/>
        </w:numPr>
        <w:tabs>
          <w:tab w:val="left" w:pos="851"/>
        </w:tabs>
        <w:jc w:val="both"/>
        <w:rPr>
          <w:rFonts w:cs="Arial"/>
          <w:szCs w:val="24"/>
        </w:rPr>
      </w:pPr>
      <w:r w:rsidRPr="002000B9">
        <w:rPr>
          <w:rFonts w:cs="Arial"/>
          <w:bCs/>
          <w:szCs w:val="24"/>
        </w:rPr>
        <w:t>Bannister Sports Centre (£195k). The funding is set aside for a new overflow car park, which will be completed in 2022</w:t>
      </w:r>
      <w:r w:rsidR="00DC02F1">
        <w:rPr>
          <w:rFonts w:cs="Arial"/>
          <w:bCs/>
          <w:szCs w:val="24"/>
        </w:rPr>
        <w:t>-</w:t>
      </w:r>
      <w:r w:rsidRPr="002000B9">
        <w:rPr>
          <w:rFonts w:cs="Arial"/>
          <w:bCs/>
          <w:szCs w:val="24"/>
        </w:rPr>
        <w:t xml:space="preserve">23 as the procurement exercise is now concluded. </w:t>
      </w:r>
    </w:p>
    <w:p w14:paraId="2A626D5F" w14:textId="77777777" w:rsidR="002000B9" w:rsidRPr="002000B9" w:rsidRDefault="002000B9" w:rsidP="002000B9">
      <w:pPr>
        <w:pStyle w:val="ListParagraph"/>
        <w:rPr>
          <w:rFonts w:cs="Arial"/>
          <w:szCs w:val="24"/>
        </w:rPr>
      </w:pPr>
    </w:p>
    <w:p w14:paraId="3852A113" w14:textId="77777777" w:rsidR="002000B9" w:rsidRDefault="002000B9" w:rsidP="007A4D31">
      <w:pPr>
        <w:pStyle w:val="ListParagraph"/>
        <w:numPr>
          <w:ilvl w:val="1"/>
          <w:numId w:val="3"/>
        </w:numPr>
        <w:tabs>
          <w:tab w:val="left" w:pos="851"/>
        </w:tabs>
        <w:jc w:val="both"/>
        <w:rPr>
          <w:rFonts w:cs="Arial"/>
          <w:szCs w:val="24"/>
        </w:rPr>
      </w:pPr>
      <w:r w:rsidRPr="002000B9">
        <w:rPr>
          <w:rFonts w:cs="Arial"/>
          <w:szCs w:val="24"/>
        </w:rPr>
        <w:t>Libraries and Leisure Capital Infrastructure (£35k). The Libraries ICT migration project is on-going as there is a delay in completing the novation of library BT phone lines.</w:t>
      </w:r>
    </w:p>
    <w:p w14:paraId="54FA1751" w14:textId="77777777" w:rsidR="002000B9" w:rsidRPr="002000B9" w:rsidRDefault="002000B9" w:rsidP="002000B9">
      <w:pPr>
        <w:pStyle w:val="ListParagraph"/>
        <w:rPr>
          <w:rFonts w:cs="Arial"/>
          <w:szCs w:val="24"/>
        </w:rPr>
      </w:pPr>
    </w:p>
    <w:p w14:paraId="19811CB4" w14:textId="5F49143E" w:rsidR="002000B9" w:rsidRPr="002000B9" w:rsidRDefault="002000B9" w:rsidP="007A4D31">
      <w:pPr>
        <w:pStyle w:val="ListParagraph"/>
        <w:numPr>
          <w:ilvl w:val="1"/>
          <w:numId w:val="3"/>
        </w:numPr>
        <w:tabs>
          <w:tab w:val="left" w:pos="851"/>
        </w:tabs>
        <w:jc w:val="both"/>
        <w:rPr>
          <w:rFonts w:cs="Arial"/>
          <w:szCs w:val="24"/>
        </w:rPr>
      </w:pPr>
      <w:r w:rsidRPr="002000B9">
        <w:rPr>
          <w:rFonts w:cs="Arial"/>
          <w:szCs w:val="24"/>
        </w:rPr>
        <w:t xml:space="preserve">Libraries Self-Service Kiosks Refresh (£113k). There was a delay in the completion of the RFID refresh project due to shipping issues and the </w:t>
      </w:r>
      <w:r w:rsidR="00E136DA" w:rsidRPr="002000B9">
        <w:rPr>
          <w:rFonts w:cs="Arial"/>
          <w:szCs w:val="24"/>
        </w:rPr>
        <w:t>setup</w:t>
      </w:r>
      <w:r w:rsidRPr="002000B9">
        <w:rPr>
          <w:rFonts w:cs="Arial"/>
          <w:szCs w:val="24"/>
        </w:rPr>
        <w:t xml:space="preserve"> of card payments at the kiosks.</w:t>
      </w:r>
    </w:p>
    <w:p w14:paraId="0936E588" w14:textId="77777777" w:rsidR="002000B9" w:rsidRDefault="002000B9" w:rsidP="002000B9">
      <w:pPr>
        <w:pStyle w:val="ListParagraph"/>
        <w:tabs>
          <w:tab w:val="left" w:pos="851"/>
        </w:tabs>
        <w:ind w:left="567" w:hanging="567"/>
        <w:rPr>
          <w:rFonts w:cs="Arial"/>
          <w:bCs/>
          <w:szCs w:val="24"/>
        </w:rPr>
      </w:pPr>
    </w:p>
    <w:p w14:paraId="1A105878" w14:textId="77777777" w:rsidR="002000B9" w:rsidRDefault="002000B9" w:rsidP="007A4D31">
      <w:pPr>
        <w:pStyle w:val="ListParagraph"/>
        <w:numPr>
          <w:ilvl w:val="0"/>
          <w:numId w:val="3"/>
        </w:numPr>
        <w:tabs>
          <w:tab w:val="left" w:pos="851"/>
        </w:tabs>
        <w:ind w:left="567" w:hanging="567"/>
        <w:jc w:val="both"/>
        <w:rPr>
          <w:rFonts w:cs="Arial"/>
          <w:szCs w:val="24"/>
        </w:rPr>
      </w:pPr>
      <w:r>
        <w:rPr>
          <w:rFonts w:cs="Arial"/>
          <w:bCs/>
          <w:szCs w:val="24"/>
        </w:rPr>
        <w:t>Unless stated otherwise, the slippage has no implications on the revenue budget.</w:t>
      </w:r>
    </w:p>
    <w:p w14:paraId="001EA0B4" w14:textId="77777777" w:rsidR="002000B9" w:rsidRDefault="002000B9" w:rsidP="002000B9">
      <w:pPr>
        <w:pStyle w:val="ListParagraph"/>
        <w:tabs>
          <w:tab w:val="left" w:pos="851"/>
        </w:tabs>
        <w:ind w:left="567" w:hanging="567"/>
        <w:jc w:val="both"/>
        <w:rPr>
          <w:rFonts w:cs="Arial"/>
          <w:szCs w:val="24"/>
        </w:rPr>
      </w:pPr>
    </w:p>
    <w:p w14:paraId="724ADB4D" w14:textId="261CCCFA" w:rsidR="002000B9" w:rsidRDefault="002000B9" w:rsidP="00EF5843">
      <w:pPr>
        <w:pStyle w:val="ListParagraph"/>
        <w:tabs>
          <w:tab w:val="left" w:pos="851"/>
        </w:tabs>
        <w:ind w:left="567"/>
        <w:jc w:val="both"/>
        <w:rPr>
          <w:rFonts w:cs="Arial"/>
          <w:bCs/>
          <w:szCs w:val="24"/>
        </w:rPr>
      </w:pPr>
      <w:r>
        <w:rPr>
          <w:rFonts w:cs="Arial"/>
          <w:b/>
          <w:szCs w:val="24"/>
        </w:rPr>
        <w:t>Enterprise and Planning</w:t>
      </w:r>
    </w:p>
    <w:p w14:paraId="57E86148" w14:textId="33A286CE" w:rsidR="002000B9" w:rsidRPr="002000B9" w:rsidRDefault="002000B9" w:rsidP="007A4D31">
      <w:pPr>
        <w:pStyle w:val="ListParagraph"/>
        <w:numPr>
          <w:ilvl w:val="0"/>
          <w:numId w:val="3"/>
        </w:numPr>
        <w:tabs>
          <w:tab w:val="left" w:pos="851"/>
        </w:tabs>
        <w:ind w:left="567" w:hanging="567"/>
        <w:jc w:val="both"/>
        <w:rPr>
          <w:rFonts w:cs="Arial"/>
          <w:szCs w:val="24"/>
        </w:rPr>
      </w:pPr>
      <w:r>
        <w:rPr>
          <w:rFonts w:cs="Arial"/>
          <w:bCs/>
          <w:szCs w:val="24"/>
        </w:rPr>
        <w:t>The services spent £1.182m against a budget of £3.534m. £2.352m funding is requested to be carried forward to 2022</w:t>
      </w:r>
      <w:r w:rsidR="00DC02F1">
        <w:rPr>
          <w:rFonts w:cs="Arial"/>
          <w:bCs/>
          <w:szCs w:val="24"/>
        </w:rPr>
        <w:t>-</w:t>
      </w:r>
      <w:r>
        <w:rPr>
          <w:rFonts w:cs="Arial"/>
          <w:bCs/>
          <w:szCs w:val="24"/>
        </w:rPr>
        <w:t xml:space="preserve">23 and relates mainly to the following projects. </w:t>
      </w:r>
    </w:p>
    <w:p w14:paraId="49097D26" w14:textId="78F03A42" w:rsidR="007A4D31" w:rsidRDefault="002000B9" w:rsidP="007A4D31">
      <w:pPr>
        <w:pStyle w:val="ListParagraph"/>
        <w:numPr>
          <w:ilvl w:val="1"/>
          <w:numId w:val="3"/>
        </w:numPr>
        <w:tabs>
          <w:tab w:val="left" w:pos="851"/>
        </w:tabs>
        <w:jc w:val="both"/>
        <w:rPr>
          <w:rFonts w:cs="Arial"/>
          <w:szCs w:val="24"/>
        </w:rPr>
      </w:pPr>
      <w:r w:rsidRPr="002000B9">
        <w:rPr>
          <w:rFonts w:cs="Arial"/>
          <w:szCs w:val="24"/>
        </w:rPr>
        <w:t>Lyon Road project (£188k): This is a multiple year project, which is near completion. The budget will be used to pay for outstanding works in 2022</w:t>
      </w:r>
      <w:r w:rsidR="00DC02F1">
        <w:rPr>
          <w:rFonts w:cs="Arial"/>
          <w:szCs w:val="24"/>
        </w:rPr>
        <w:t>-</w:t>
      </w:r>
      <w:r w:rsidRPr="002000B9">
        <w:rPr>
          <w:rFonts w:cs="Arial"/>
          <w:szCs w:val="24"/>
        </w:rPr>
        <w:t>23.</w:t>
      </w:r>
    </w:p>
    <w:p w14:paraId="4F48A3B7" w14:textId="77777777" w:rsidR="007A4D31" w:rsidRDefault="007A4D31" w:rsidP="007A4D31">
      <w:pPr>
        <w:pStyle w:val="ListParagraph"/>
        <w:tabs>
          <w:tab w:val="left" w:pos="851"/>
        </w:tabs>
        <w:ind w:left="1440"/>
        <w:jc w:val="both"/>
        <w:rPr>
          <w:rFonts w:cs="Arial"/>
          <w:szCs w:val="24"/>
        </w:rPr>
      </w:pPr>
    </w:p>
    <w:p w14:paraId="0BAD5721" w14:textId="77777777" w:rsidR="007A4D31" w:rsidRPr="007A4D31" w:rsidRDefault="002000B9" w:rsidP="007A4D31">
      <w:pPr>
        <w:pStyle w:val="ListParagraph"/>
        <w:numPr>
          <w:ilvl w:val="1"/>
          <w:numId w:val="3"/>
        </w:numPr>
        <w:tabs>
          <w:tab w:val="left" w:pos="851"/>
        </w:tabs>
        <w:jc w:val="both"/>
        <w:rPr>
          <w:rFonts w:cs="Arial"/>
          <w:szCs w:val="24"/>
        </w:rPr>
      </w:pPr>
      <w:r w:rsidRPr="007A4D31">
        <w:rPr>
          <w:rFonts w:cs="Arial"/>
          <w:bCs/>
          <w:szCs w:val="24"/>
        </w:rPr>
        <w:t xml:space="preserve">Planning IT replacement (£468k). There was a delay in the implementation of the new system by the supplier. </w:t>
      </w:r>
    </w:p>
    <w:p w14:paraId="13F4317B" w14:textId="77777777" w:rsidR="007A4D31" w:rsidRPr="007A4D31" w:rsidRDefault="007A4D31" w:rsidP="007A4D31">
      <w:pPr>
        <w:pStyle w:val="ListParagraph"/>
        <w:rPr>
          <w:rFonts w:cs="Arial"/>
          <w:bCs/>
          <w:szCs w:val="24"/>
        </w:rPr>
      </w:pPr>
    </w:p>
    <w:p w14:paraId="12DE5042" w14:textId="1CFD9EA4" w:rsidR="007A4D31" w:rsidRPr="007A4D31" w:rsidRDefault="002000B9" w:rsidP="007A4D31">
      <w:pPr>
        <w:pStyle w:val="ListParagraph"/>
        <w:numPr>
          <w:ilvl w:val="1"/>
          <w:numId w:val="3"/>
        </w:numPr>
        <w:tabs>
          <w:tab w:val="left" w:pos="851"/>
        </w:tabs>
        <w:jc w:val="both"/>
        <w:rPr>
          <w:rFonts w:cs="Arial"/>
          <w:szCs w:val="24"/>
        </w:rPr>
      </w:pPr>
      <w:r w:rsidRPr="007A4D31">
        <w:rPr>
          <w:rFonts w:cs="Arial"/>
          <w:bCs/>
          <w:szCs w:val="24"/>
        </w:rPr>
        <w:t xml:space="preserve">Harrow High Street Fund (£1.268m). This project is largely CIL funded. Project delivery is underway for </w:t>
      </w:r>
      <w:proofErr w:type="gramStart"/>
      <w:r w:rsidRPr="007A4D31">
        <w:rPr>
          <w:rFonts w:cs="Arial"/>
          <w:bCs/>
          <w:szCs w:val="24"/>
        </w:rPr>
        <w:t>a number of</w:t>
      </w:r>
      <w:proofErr w:type="gramEnd"/>
      <w:r w:rsidRPr="007A4D31">
        <w:rPr>
          <w:rFonts w:cs="Arial"/>
          <w:bCs/>
          <w:szCs w:val="24"/>
        </w:rPr>
        <w:t xml:space="preserve"> strands including festive lights, Copenhagen Crossings, benches, tree pits, trees and the North Harrow Junction study. Some of the strands will be completed in Q1 of 2022</w:t>
      </w:r>
      <w:r w:rsidR="00DC02F1">
        <w:rPr>
          <w:rFonts w:cs="Arial"/>
          <w:bCs/>
          <w:szCs w:val="24"/>
        </w:rPr>
        <w:t>-</w:t>
      </w:r>
      <w:r w:rsidRPr="007A4D31">
        <w:rPr>
          <w:rFonts w:cs="Arial"/>
          <w:bCs/>
          <w:szCs w:val="24"/>
        </w:rPr>
        <w:t>23 whilst others are delayed due to supplier issues which include feature lights and gateway features. Contracts are being finalised with suppliers for delivery in 2022</w:t>
      </w:r>
      <w:r w:rsidR="00DC02F1">
        <w:rPr>
          <w:rFonts w:cs="Arial"/>
          <w:bCs/>
          <w:szCs w:val="24"/>
        </w:rPr>
        <w:t>-</w:t>
      </w:r>
      <w:r w:rsidRPr="007A4D31">
        <w:rPr>
          <w:rFonts w:cs="Arial"/>
          <w:bCs/>
          <w:szCs w:val="24"/>
        </w:rPr>
        <w:t xml:space="preserve">23. </w:t>
      </w:r>
    </w:p>
    <w:p w14:paraId="75B9B16A" w14:textId="77777777" w:rsidR="007A4D31" w:rsidRPr="007A4D31" w:rsidRDefault="007A4D31" w:rsidP="007A4D31">
      <w:pPr>
        <w:pStyle w:val="ListParagraph"/>
        <w:rPr>
          <w:rFonts w:cs="Arial"/>
          <w:bCs/>
          <w:szCs w:val="24"/>
        </w:rPr>
      </w:pPr>
    </w:p>
    <w:p w14:paraId="02597AE8" w14:textId="2043F3CA" w:rsidR="002000B9" w:rsidRPr="007A4D31" w:rsidRDefault="002000B9" w:rsidP="007A4D31">
      <w:pPr>
        <w:pStyle w:val="ListParagraph"/>
        <w:numPr>
          <w:ilvl w:val="1"/>
          <w:numId w:val="3"/>
        </w:numPr>
        <w:tabs>
          <w:tab w:val="left" w:pos="851"/>
        </w:tabs>
        <w:jc w:val="both"/>
        <w:rPr>
          <w:rFonts w:cs="Arial"/>
          <w:szCs w:val="24"/>
        </w:rPr>
      </w:pPr>
      <w:r w:rsidRPr="007A4D31">
        <w:rPr>
          <w:rFonts w:cs="Arial"/>
          <w:bCs/>
          <w:szCs w:val="24"/>
        </w:rPr>
        <w:t>Neighbourhood CIL projects (£428k). The delivery of approved projects in various wards in 2021</w:t>
      </w:r>
      <w:r w:rsidR="00DC02F1">
        <w:rPr>
          <w:rFonts w:cs="Arial"/>
          <w:bCs/>
          <w:szCs w:val="24"/>
        </w:rPr>
        <w:t>-</w:t>
      </w:r>
      <w:r w:rsidRPr="007A4D31">
        <w:rPr>
          <w:rFonts w:cs="Arial"/>
          <w:bCs/>
          <w:szCs w:val="24"/>
        </w:rPr>
        <w:t>22 will continue in 2022</w:t>
      </w:r>
      <w:r w:rsidR="00DC02F1">
        <w:rPr>
          <w:rFonts w:cs="Arial"/>
          <w:bCs/>
          <w:szCs w:val="24"/>
        </w:rPr>
        <w:t>-</w:t>
      </w:r>
      <w:r w:rsidRPr="007A4D31">
        <w:rPr>
          <w:rFonts w:cs="Arial"/>
          <w:bCs/>
          <w:szCs w:val="24"/>
        </w:rPr>
        <w:t>23.</w:t>
      </w:r>
    </w:p>
    <w:p w14:paraId="3DCCD54C" w14:textId="77777777" w:rsidR="002000B9" w:rsidRDefault="002000B9" w:rsidP="002000B9">
      <w:pPr>
        <w:tabs>
          <w:tab w:val="left" w:pos="851"/>
        </w:tabs>
        <w:ind w:left="567" w:hanging="567"/>
        <w:rPr>
          <w:rFonts w:cs="Arial"/>
          <w:bCs/>
          <w:szCs w:val="24"/>
        </w:rPr>
      </w:pPr>
    </w:p>
    <w:p w14:paraId="4CE66FA2" w14:textId="77777777" w:rsidR="007A4D31" w:rsidRPr="007A4D31" w:rsidRDefault="002000B9" w:rsidP="007A4D31">
      <w:pPr>
        <w:pStyle w:val="ListParagraph"/>
        <w:numPr>
          <w:ilvl w:val="0"/>
          <w:numId w:val="3"/>
        </w:numPr>
        <w:tabs>
          <w:tab w:val="left" w:pos="851"/>
        </w:tabs>
        <w:ind w:left="567" w:hanging="567"/>
        <w:jc w:val="both"/>
        <w:rPr>
          <w:rFonts w:cs="Arial"/>
          <w:szCs w:val="24"/>
        </w:rPr>
      </w:pPr>
      <w:r>
        <w:rPr>
          <w:rFonts w:cs="Arial"/>
          <w:bCs/>
          <w:szCs w:val="24"/>
        </w:rPr>
        <w:t>Unless stated otherwise, the slippage has no implications on the revenue budget.</w:t>
      </w:r>
      <w:bookmarkStart w:id="11" w:name="_Hlk103930597"/>
    </w:p>
    <w:p w14:paraId="4B9A869A" w14:textId="022AA84D" w:rsidR="007A4D31" w:rsidRDefault="007A4D31" w:rsidP="007A4D31">
      <w:pPr>
        <w:pStyle w:val="ListParagraph"/>
        <w:tabs>
          <w:tab w:val="left" w:pos="851"/>
        </w:tabs>
        <w:ind w:left="567"/>
        <w:jc w:val="both"/>
        <w:rPr>
          <w:rFonts w:cs="Arial"/>
          <w:szCs w:val="24"/>
        </w:rPr>
      </w:pPr>
    </w:p>
    <w:p w14:paraId="39874A18" w14:textId="762C4BEA" w:rsidR="007A4D31" w:rsidRPr="007A4D31" w:rsidRDefault="007A4D31" w:rsidP="007A4D31">
      <w:pPr>
        <w:pStyle w:val="ListParagraph"/>
        <w:tabs>
          <w:tab w:val="left" w:pos="851"/>
        </w:tabs>
        <w:ind w:left="567"/>
        <w:jc w:val="both"/>
        <w:rPr>
          <w:rFonts w:cs="Arial"/>
          <w:b/>
          <w:bCs/>
          <w:szCs w:val="24"/>
        </w:rPr>
      </w:pPr>
      <w:r w:rsidRPr="007A4D31">
        <w:rPr>
          <w:rFonts w:cs="Arial"/>
          <w:b/>
          <w:bCs/>
          <w:szCs w:val="24"/>
        </w:rPr>
        <w:t>Regeneration</w:t>
      </w:r>
    </w:p>
    <w:p w14:paraId="242AB765" w14:textId="77777777" w:rsidR="007A4D31" w:rsidRPr="007A4D31" w:rsidRDefault="007A4D31" w:rsidP="007A4D31">
      <w:pPr>
        <w:pStyle w:val="ListParagraph"/>
        <w:tabs>
          <w:tab w:val="left" w:pos="851"/>
        </w:tabs>
        <w:ind w:left="567"/>
        <w:jc w:val="both"/>
        <w:rPr>
          <w:rFonts w:cs="Arial"/>
          <w:szCs w:val="24"/>
        </w:rPr>
      </w:pPr>
    </w:p>
    <w:p w14:paraId="5078923D" w14:textId="28D8FB65" w:rsidR="007A4D31" w:rsidRDefault="002000B9" w:rsidP="007A4D31">
      <w:pPr>
        <w:pStyle w:val="ListParagraph"/>
        <w:numPr>
          <w:ilvl w:val="0"/>
          <w:numId w:val="3"/>
        </w:numPr>
        <w:tabs>
          <w:tab w:val="left" w:pos="851"/>
        </w:tabs>
        <w:ind w:left="567" w:hanging="567"/>
        <w:jc w:val="both"/>
        <w:rPr>
          <w:rFonts w:cs="Arial"/>
          <w:szCs w:val="24"/>
        </w:rPr>
      </w:pPr>
      <w:r w:rsidRPr="007A4D31">
        <w:rPr>
          <w:rFonts w:cs="Arial"/>
          <w:szCs w:val="24"/>
        </w:rPr>
        <w:t>The services spent £4.051m against a budget of £11.708m. £7.657m funding is requested to be carried forward to 2022</w:t>
      </w:r>
      <w:r w:rsidR="00DC02F1">
        <w:rPr>
          <w:rFonts w:cs="Arial"/>
          <w:szCs w:val="24"/>
        </w:rPr>
        <w:t>-</w:t>
      </w:r>
      <w:r w:rsidRPr="007A4D31">
        <w:rPr>
          <w:rFonts w:cs="Arial"/>
          <w:szCs w:val="24"/>
        </w:rPr>
        <w:t>23 to support the Accommodation Strategy and Harrow Strategic Development Partnership. Some project budgets will be reconfigured as part of the outturn process as detailed below:</w:t>
      </w:r>
    </w:p>
    <w:p w14:paraId="592C7766" w14:textId="77777777" w:rsidR="007A4D31" w:rsidRDefault="007A4D31" w:rsidP="007A4D31">
      <w:pPr>
        <w:pStyle w:val="ListParagraph"/>
        <w:tabs>
          <w:tab w:val="left" w:pos="851"/>
        </w:tabs>
        <w:ind w:left="567"/>
        <w:jc w:val="both"/>
        <w:rPr>
          <w:rFonts w:cs="Arial"/>
          <w:szCs w:val="24"/>
        </w:rPr>
      </w:pPr>
    </w:p>
    <w:p w14:paraId="3837AF3A" w14:textId="580F2F0F" w:rsidR="007A4D31" w:rsidRPr="007A4D31" w:rsidRDefault="002000B9" w:rsidP="007A4D31">
      <w:pPr>
        <w:pStyle w:val="ListParagraph"/>
        <w:numPr>
          <w:ilvl w:val="1"/>
          <w:numId w:val="3"/>
        </w:numPr>
        <w:tabs>
          <w:tab w:val="left" w:pos="851"/>
        </w:tabs>
        <w:jc w:val="both"/>
        <w:rPr>
          <w:rFonts w:cs="Arial"/>
          <w:szCs w:val="24"/>
        </w:rPr>
      </w:pPr>
      <w:r>
        <w:t>Haslam House (£0.026m)</w:t>
      </w:r>
      <w:r w:rsidR="007A4D31">
        <w:t xml:space="preserve">. </w:t>
      </w:r>
      <w:r>
        <w:t>The project has completed. The budget is being used to cover the retention and costs to final account.</w:t>
      </w:r>
      <w:bookmarkStart w:id="12" w:name="_Hlk103934996"/>
    </w:p>
    <w:p w14:paraId="767B5907" w14:textId="77777777" w:rsidR="007A4D31" w:rsidRPr="007A4D31" w:rsidRDefault="007A4D31" w:rsidP="007A4D31">
      <w:pPr>
        <w:pStyle w:val="ListParagraph"/>
        <w:tabs>
          <w:tab w:val="left" w:pos="851"/>
        </w:tabs>
        <w:ind w:left="1440"/>
        <w:jc w:val="both"/>
        <w:rPr>
          <w:rFonts w:cs="Arial"/>
          <w:szCs w:val="24"/>
        </w:rPr>
      </w:pPr>
    </w:p>
    <w:p w14:paraId="0F9399C0" w14:textId="29ECA410" w:rsidR="007A4D31" w:rsidRPr="007A4D31" w:rsidRDefault="002000B9" w:rsidP="007A4D31">
      <w:pPr>
        <w:pStyle w:val="ListParagraph"/>
        <w:numPr>
          <w:ilvl w:val="1"/>
          <w:numId w:val="3"/>
        </w:numPr>
        <w:tabs>
          <w:tab w:val="left" w:pos="851"/>
        </w:tabs>
        <w:jc w:val="both"/>
        <w:rPr>
          <w:rFonts w:cs="Arial"/>
          <w:szCs w:val="24"/>
        </w:rPr>
      </w:pPr>
      <w:proofErr w:type="spellStart"/>
      <w:r>
        <w:t>Waxwell</w:t>
      </w:r>
      <w:proofErr w:type="spellEnd"/>
      <w:r>
        <w:t xml:space="preserve"> lane (£0.277m). This is a multi- year scheme which </w:t>
      </w:r>
      <w:r w:rsidR="00A80821">
        <w:t>is estimated to complete by the summer 2022</w:t>
      </w:r>
      <w:r w:rsidRPr="007A4D31">
        <w:rPr>
          <w:rFonts w:cs="Arial"/>
          <w:szCs w:val="24"/>
        </w:rPr>
        <w:t xml:space="preserve">. </w:t>
      </w:r>
      <w:bookmarkStart w:id="13" w:name="_Hlk103935723"/>
      <w:bookmarkEnd w:id="12"/>
      <w:r>
        <w:t>An extension of time claim has been submitted by the contractor. We expect to conclude final account negotiations in 2022</w:t>
      </w:r>
      <w:r w:rsidR="007A4D31">
        <w:t>-</w:t>
      </w:r>
      <w:r>
        <w:t xml:space="preserve">23. </w:t>
      </w:r>
      <w:bookmarkEnd w:id="13"/>
    </w:p>
    <w:p w14:paraId="2C7E02FD" w14:textId="77777777" w:rsidR="007A4D31" w:rsidRDefault="007A4D31" w:rsidP="007A4D31">
      <w:pPr>
        <w:pStyle w:val="ListParagraph"/>
      </w:pPr>
    </w:p>
    <w:p w14:paraId="5EAA4001" w14:textId="21773126" w:rsidR="007A4D31" w:rsidRPr="007A4D31" w:rsidRDefault="002000B9" w:rsidP="007A4D31">
      <w:pPr>
        <w:pStyle w:val="ListParagraph"/>
        <w:numPr>
          <w:ilvl w:val="1"/>
          <w:numId w:val="3"/>
        </w:numPr>
        <w:tabs>
          <w:tab w:val="left" w:pos="851"/>
        </w:tabs>
        <w:jc w:val="both"/>
        <w:rPr>
          <w:rFonts w:cs="Arial"/>
          <w:szCs w:val="24"/>
        </w:rPr>
      </w:pPr>
      <w:r>
        <w:t>Gayton Road (£2.267m). This budget was reclassified as Accommodation Strategy</w:t>
      </w:r>
      <w:r w:rsidR="007A4D31">
        <w:t xml:space="preserve"> </w:t>
      </w:r>
      <w:r>
        <w:t>(£1.473m) and Investment in 3 Core Sites (£0.794m) as agreed by Cabinet (29/04/2021) and is being used to take forward the Accommodation strategy.</w:t>
      </w:r>
      <w:bookmarkStart w:id="14" w:name="_Hlk103935055"/>
    </w:p>
    <w:p w14:paraId="44663F9A" w14:textId="77777777" w:rsidR="007A4D31" w:rsidRDefault="007A4D31" w:rsidP="007A4D31">
      <w:pPr>
        <w:pStyle w:val="ListParagraph"/>
      </w:pPr>
    </w:p>
    <w:p w14:paraId="77AE6104" w14:textId="77777777" w:rsidR="007A4D31" w:rsidRPr="007A4D31" w:rsidRDefault="002000B9" w:rsidP="007A4D31">
      <w:pPr>
        <w:pStyle w:val="ListParagraph"/>
        <w:numPr>
          <w:ilvl w:val="1"/>
          <w:numId w:val="3"/>
        </w:numPr>
        <w:tabs>
          <w:tab w:val="left" w:pos="851"/>
        </w:tabs>
        <w:jc w:val="both"/>
        <w:rPr>
          <w:rFonts w:cs="Arial"/>
          <w:szCs w:val="24"/>
        </w:rPr>
      </w:pPr>
      <w:r>
        <w:t xml:space="preserve">Client Side-Regeneration Budget (£1.788m). This budget is being carry forward and reclassified to supplement the Investment in 3 core sites. There is £0.223m contingency for </w:t>
      </w:r>
      <w:proofErr w:type="spellStart"/>
      <w:r>
        <w:t>Waxwell</w:t>
      </w:r>
      <w:proofErr w:type="spellEnd"/>
      <w:r>
        <w:t xml:space="preserve"> Lane contained within this budget which will be added to the £0.277m carry forward request giving a total carry forward request for </w:t>
      </w:r>
      <w:proofErr w:type="spellStart"/>
      <w:r>
        <w:t>Waxwell</w:t>
      </w:r>
      <w:proofErr w:type="spellEnd"/>
      <w:r>
        <w:t xml:space="preserve"> Lane of £0.500m and £1.565m available for Investment in 3 Core sites.</w:t>
      </w:r>
      <w:bookmarkEnd w:id="14"/>
    </w:p>
    <w:p w14:paraId="77CCD1DC" w14:textId="77777777" w:rsidR="007A4D31" w:rsidRDefault="007A4D31" w:rsidP="007A4D31">
      <w:pPr>
        <w:pStyle w:val="ListParagraph"/>
      </w:pPr>
    </w:p>
    <w:p w14:paraId="3244F90D" w14:textId="00A94448" w:rsidR="007A4D31" w:rsidRPr="007A4D31" w:rsidRDefault="002000B9" w:rsidP="007A4D31">
      <w:pPr>
        <w:pStyle w:val="ListParagraph"/>
        <w:numPr>
          <w:ilvl w:val="1"/>
          <w:numId w:val="3"/>
        </w:numPr>
        <w:tabs>
          <w:tab w:val="left" w:pos="851"/>
        </w:tabs>
        <w:jc w:val="both"/>
        <w:rPr>
          <w:rFonts w:cs="Arial"/>
          <w:szCs w:val="24"/>
        </w:rPr>
      </w:pPr>
      <w:r>
        <w:lastRenderedPageBreak/>
        <w:t>Investment in 3 Core sites (£0.429m). The budget will be used in 2022</w:t>
      </w:r>
      <w:r w:rsidR="007A4D31">
        <w:t>-</w:t>
      </w:r>
      <w:r>
        <w:t>23 to fund the councils share of the investment in the 3 core sites within the HSDP.</w:t>
      </w:r>
    </w:p>
    <w:p w14:paraId="1B132804" w14:textId="77777777" w:rsidR="007A4D31" w:rsidRDefault="007A4D31" w:rsidP="007A4D31">
      <w:pPr>
        <w:pStyle w:val="ListParagraph"/>
      </w:pPr>
    </w:p>
    <w:p w14:paraId="34B80D76" w14:textId="25A0F92F" w:rsidR="007A4D31" w:rsidRPr="007A4D31" w:rsidRDefault="002000B9" w:rsidP="007A4D31">
      <w:pPr>
        <w:pStyle w:val="ListParagraph"/>
        <w:numPr>
          <w:ilvl w:val="1"/>
          <w:numId w:val="3"/>
        </w:numPr>
        <w:tabs>
          <w:tab w:val="left" w:pos="851"/>
        </w:tabs>
        <w:jc w:val="both"/>
        <w:rPr>
          <w:rFonts w:cs="Arial"/>
          <w:szCs w:val="24"/>
        </w:rPr>
      </w:pPr>
      <w:r>
        <w:t>Investment in HNC (£2.070m). The budget will be used in 2022</w:t>
      </w:r>
      <w:r w:rsidR="007A4D31">
        <w:t>-</w:t>
      </w:r>
      <w:r>
        <w:t>23 to cover the contractual liabilities associated with the Temple.</w:t>
      </w:r>
    </w:p>
    <w:p w14:paraId="13E93515" w14:textId="77777777" w:rsidR="007A4D31" w:rsidRDefault="007A4D31" w:rsidP="007A4D31">
      <w:pPr>
        <w:pStyle w:val="ListParagraph"/>
      </w:pPr>
    </w:p>
    <w:p w14:paraId="04EBB5FC" w14:textId="0D46D108" w:rsidR="007A4D31" w:rsidRPr="007A4D31" w:rsidRDefault="002000B9" w:rsidP="007A4D31">
      <w:pPr>
        <w:pStyle w:val="ListParagraph"/>
        <w:numPr>
          <w:ilvl w:val="1"/>
          <w:numId w:val="3"/>
        </w:numPr>
        <w:tabs>
          <w:tab w:val="left" w:pos="851"/>
        </w:tabs>
        <w:jc w:val="both"/>
        <w:rPr>
          <w:rFonts w:cs="Arial"/>
          <w:szCs w:val="24"/>
        </w:rPr>
      </w:pPr>
      <w:r>
        <w:t>Other (£0.800m). This includes £0.300m for the social club demolition and £0.500m for the development costs of commercial unit at Milton road-these budgets are requested to be carry forward into 2022</w:t>
      </w:r>
      <w:r w:rsidR="007A4D31">
        <w:t>-</w:t>
      </w:r>
      <w:r>
        <w:t>23 and reallocated to Investment in 3 Core Sites.</w:t>
      </w:r>
    </w:p>
    <w:p w14:paraId="61B1491B" w14:textId="77777777" w:rsidR="007A4D31" w:rsidRDefault="007A4D31" w:rsidP="007A4D31">
      <w:pPr>
        <w:pStyle w:val="ListParagraph"/>
      </w:pPr>
    </w:p>
    <w:p w14:paraId="589CE21D" w14:textId="7FF22094" w:rsidR="002000B9" w:rsidRPr="007A4D31" w:rsidRDefault="002000B9" w:rsidP="007A4D31">
      <w:pPr>
        <w:pStyle w:val="ListParagraph"/>
        <w:numPr>
          <w:ilvl w:val="1"/>
          <w:numId w:val="3"/>
        </w:numPr>
        <w:tabs>
          <w:tab w:val="left" w:pos="851"/>
        </w:tabs>
        <w:jc w:val="both"/>
        <w:rPr>
          <w:rFonts w:cs="Arial"/>
          <w:szCs w:val="24"/>
        </w:rPr>
      </w:pPr>
      <w:r>
        <w:t>As a result of the above proposed adjustments, there will be a total carry forward into 2022</w:t>
      </w:r>
      <w:r w:rsidR="007A4D31">
        <w:t>-</w:t>
      </w:r>
      <w:r>
        <w:t>23 of £3.588m against Investment in 3 Core Sites.</w:t>
      </w:r>
    </w:p>
    <w:p w14:paraId="29DBE54C" w14:textId="77777777" w:rsidR="0000413A" w:rsidRPr="0000413A" w:rsidRDefault="007A4D31" w:rsidP="0000413A">
      <w:pPr>
        <w:pStyle w:val="ListParagraph"/>
        <w:tabs>
          <w:tab w:val="left" w:pos="851"/>
        </w:tabs>
        <w:ind w:left="473"/>
        <w:jc w:val="both"/>
        <w:rPr>
          <w:rFonts w:cs="Arial"/>
          <w:szCs w:val="24"/>
        </w:rPr>
      </w:pPr>
      <w:r>
        <w:rPr>
          <w:rFonts w:cs="Arial"/>
          <w:bCs/>
          <w:szCs w:val="24"/>
        </w:rPr>
        <w:t xml:space="preserve"> </w:t>
      </w:r>
    </w:p>
    <w:p w14:paraId="1F6483BE" w14:textId="22301680" w:rsidR="007A4D31" w:rsidRPr="007A4D31" w:rsidRDefault="002000B9" w:rsidP="007A4D31">
      <w:pPr>
        <w:pStyle w:val="ListParagraph"/>
        <w:numPr>
          <w:ilvl w:val="1"/>
          <w:numId w:val="32"/>
        </w:numPr>
        <w:tabs>
          <w:tab w:val="left" w:pos="851"/>
        </w:tabs>
        <w:jc w:val="both"/>
        <w:rPr>
          <w:rFonts w:cs="Arial"/>
          <w:szCs w:val="24"/>
        </w:rPr>
      </w:pPr>
      <w:r w:rsidRPr="007A4D31">
        <w:rPr>
          <w:rFonts w:cs="Arial"/>
          <w:bCs/>
          <w:szCs w:val="24"/>
        </w:rPr>
        <w:t>Unless stated otherwise, the slippage has no implications on the revenu</w:t>
      </w:r>
      <w:r w:rsidR="007A4D31">
        <w:rPr>
          <w:rFonts w:cs="Arial"/>
          <w:bCs/>
          <w:szCs w:val="24"/>
        </w:rPr>
        <w:t xml:space="preserve">e </w:t>
      </w:r>
      <w:r w:rsidRPr="007A4D31">
        <w:rPr>
          <w:rFonts w:cs="Arial"/>
          <w:bCs/>
          <w:szCs w:val="24"/>
        </w:rPr>
        <w:t>budget.</w:t>
      </w:r>
      <w:bookmarkEnd w:id="11"/>
    </w:p>
    <w:p w14:paraId="2F7ADD70" w14:textId="77777777" w:rsidR="007A4D31" w:rsidRPr="007A4D31" w:rsidRDefault="007A4D31" w:rsidP="007A4D31">
      <w:pPr>
        <w:pStyle w:val="ListParagraph"/>
        <w:tabs>
          <w:tab w:val="left" w:pos="851"/>
        </w:tabs>
        <w:ind w:left="473"/>
        <w:jc w:val="both"/>
        <w:rPr>
          <w:rFonts w:cs="Arial"/>
          <w:szCs w:val="24"/>
        </w:rPr>
      </w:pPr>
    </w:p>
    <w:p w14:paraId="42E5E7BE" w14:textId="77777777" w:rsidR="007A4D31" w:rsidRPr="007A4D31" w:rsidRDefault="002000B9" w:rsidP="007A4D31">
      <w:pPr>
        <w:pStyle w:val="ListParagraph"/>
        <w:tabs>
          <w:tab w:val="left" w:pos="851"/>
        </w:tabs>
        <w:ind w:left="567"/>
        <w:jc w:val="both"/>
        <w:rPr>
          <w:rFonts w:cs="Arial"/>
          <w:szCs w:val="24"/>
        </w:rPr>
      </w:pPr>
      <w:r w:rsidRPr="007A4D31">
        <w:rPr>
          <w:b/>
          <w:bCs/>
        </w:rPr>
        <w:t>Housing General Fund</w:t>
      </w:r>
    </w:p>
    <w:p w14:paraId="08F8407D" w14:textId="77777777" w:rsidR="007A4D31" w:rsidRPr="007A4D31" w:rsidRDefault="007A4D31" w:rsidP="007A4D31">
      <w:pPr>
        <w:pStyle w:val="ListParagraph"/>
        <w:rPr>
          <w:rFonts w:cs="Arial"/>
          <w:bCs/>
          <w:szCs w:val="24"/>
        </w:rPr>
      </w:pPr>
    </w:p>
    <w:p w14:paraId="4C7B1735" w14:textId="148D0B18" w:rsidR="007A4D31" w:rsidRPr="007A4D31" w:rsidRDefault="002000B9" w:rsidP="007A4D31">
      <w:pPr>
        <w:pStyle w:val="ListParagraph"/>
        <w:numPr>
          <w:ilvl w:val="1"/>
          <w:numId w:val="32"/>
        </w:numPr>
        <w:tabs>
          <w:tab w:val="left" w:pos="851"/>
        </w:tabs>
        <w:ind w:left="567" w:hanging="567"/>
        <w:jc w:val="both"/>
        <w:rPr>
          <w:rFonts w:cs="Arial"/>
          <w:szCs w:val="24"/>
        </w:rPr>
      </w:pPr>
      <w:r w:rsidRPr="007A4D31">
        <w:rPr>
          <w:rFonts w:cs="Arial"/>
          <w:bCs/>
          <w:szCs w:val="24"/>
        </w:rPr>
        <w:t>The services spent £6.736m against a budget of £12.348m.</w:t>
      </w:r>
      <w:r w:rsidR="007A4D31">
        <w:rPr>
          <w:rFonts w:cs="Arial"/>
          <w:bCs/>
          <w:szCs w:val="24"/>
        </w:rPr>
        <w:t xml:space="preserve"> Of this, </w:t>
      </w:r>
      <w:r w:rsidR="007A4D31" w:rsidRPr="007A4D31">
        <w:rPr>
          <w:rFonts w:cs="Arial"/>
          <w:bCs/>
          <w:szCs w:val="24"/>
        </w:rPr>
        <w:t>£2</w:t>
      </w:r>
      <w:r w:rsidR="007A4D31">
        <w:rPr>
          <w:rFonts w:cs="Arial"/>
          <w:bCs/>
          <w:szCs w:val="24"/>
        </w:rPr>
        <w:t>.</w:t>
      </w:r>
      <w:r w:rsidR="007A4D31" w:rsidRPr="007A4D31">
        <w:rPr>
          <w:rFonts w:cs="Arial"/>
          <w:bCs/>
          <w:szCs w:val="24"/>
        </w:rPr>
        <w:t>975</w:t>
      </w:r>
      <w:r w:rsidR="007A4D31">
        <w:rPr>
          <w:rFonts w:cs="Arial"/>
          <w:bCs/>
          <w:szCs w:val="24"/>
        </w:rPr>
        <w:t>m</w:t>
      </w:r>
      <w:r w:rsidR="007A4D31" w:rsidRPr="007A4D31">
        <w:rPr>
          <w:rFonts w:cs="Arial"/>
          <w:bCs/>
          <w:szCs w:val="24"/>
        </w:rPr>
        <w:t xml:space="preserve"> is reported as underspend.</w:t>
      </w:r>
      <w:r w:rsidR="007A4D31">
        <w:rPr>
          <w:rFonts w:cs="Arial"/>
          <w:bCs/>
          <w:szCs w:val="24"/>
        </w:rPr>
        <w:t xml:space="preserve"> </w:t>
      </w:r>
      <w:r w:rsidRPr="007A4D31">
        <w:rPr>
          <w:rFonts w:cs="Arial"/>
          <w:bCs/>
          <w:szCs w:val="24"/>
        </w:rPr>
        <w:t>£2.637m of funding is requested to be carried forward to 2022</w:t>
      </w:r>
      <w:r w:rsidR="007A4D31">
        <w:rPr>
          <w:rFonts w:cs="Arial"/>
          <w:bCs/>
          <w:szCs w:val="24"/>
        </w:rPr>
        <w:t>-</w:t>
      </w:r>
      <w:r w:rsidRPr="007A4D31">
        <w:rPr>
          <w:rFonts w:cs="Arial"/>
          <w:bCs/>
          <w:szCs w:val="24"/>
        </w:rPr>
        <w:t xml:space="preserve">23 and relates mainly to the following projects. </w:t>
      </w:r>
    </w:p>
    <w:p w14:paraId="1411C2AD" w14:textId="77777777" w:rsidR="007A4D31" w:rsidRDefault="007A4D31" w:rsidP="007A4D31">
      <w:pPr>
        <w:tabs>
          <w:tab w:val="left" w:pos="851"/>
        </w:tabs>
        <w:jc w:val="both"/>
        <w:rPr>
          <w:rFonts w:cs="Arial"/>
          <w:szCs w:val="24"/>
        </w:rPr>
      </w:pPr>
    </w:p>
    <w:p w14:paraId="711C48C0" w14:textId="1ACD8041" w:rsidR="007A4D31" w:rsidRPr="007A4D31" w:rsidRDefault="002000B9" w:rsidP="007A4D31">
      <w:pPr>
        <w:pStyle w:val="ListParagraph"/>
        <w:numPr>
          <w:ilvl w:val="0"/>
          <w:numId w:val="33"/>
        </w:numPr>
        <w:tabs>
          <w:tab w:val="left" w:pos="851"/>
        </w:tabs>
        <w:ind w:left="1418"/>
        <w:jc w:val="both"/>
        <w:rPr>
          <w:rFonts w:cs="Arial"/>
          <w:szCs w:val="24"/>
        </w:rPr>
      </w:pPr>
      <w:r w:rsidRPr="007A4D31">
        <w:rPr>
          <w:rFonts w:cs="Arial"/>
          <w:szCs w:val="24"/>
        </w:rPr>
        <w:t>Property Acquisition Programme 2021</w:t>
      </w:r>
      <w:r w:rsidR="007A4D31">
        <w:rPr>
          <w:rFonts w:cs="Arial"/>
          <w:szCs w:val="24"/>
        </w:rPr>
        <w:t>-</w:t>
      </w:r>
      <w:r w:rsidRPr="007A4D31">
        <w:rPr>
          <w:rFonts w:cs="Arial"/>
          <w:szCs w:val="24"/>
        </w:rPr>
        <w:t>22 (£4.100m)</w:t>
      </w:r>
      <w:r w:rsidR="007A4D31">
        <w:rPr>
          <w:rFonts w:cs="Arial"/>
          <w:szCs w:val="24"/>
        </w:rPr>
        <w:t>.</w:t>
      </w:r>
      <w:r w:rsidRPr="007A4D31">
        <w:rPr>
          <w:rFonts w:cs="Arial"/>
          <w:szCs w:val="24"/>
        </w:rPr>
        <w:t xml:space="preserve"> Of </w:t>
      </w:r>
      <w:r w:rsidR="007A4D31">
        <w:rPr>
          <w:rFonts w:cs="Arial"/>
          <w:szCs w:val="24"/>
        </w:rPr>
        <w:t>this,</w:t>
      </w:r>
      <w:r w:rsidRPr="007A4D31">
        <w:rPr>
          <w:rFonts w:cs="Arial"/>
          <w:szCs w:val="24"/>
        </w:rPr>
        <w:t xml:space="preserve"> £1.550m </w:t>
      </w:r>
      <w:r w:rsidRPr="007A4D31">
        <w:rPr>
          <w:rFonts w:cs="Arial"/>
          <w:bCs/>
          <w:szCs w:val="24"/>
        </w:rPr>
        <w:t>is proposed to be carried forward into 2022</w:t>
      </w:r>
      <w:r w:rsidR="007A4D31">
        <w:rPr>
          <w:rFonts w:cs="Arial"/>
          <w:bCs/>
          <w:szCs w:val="24"/>
        </w:rPr>
        <w:t>-</w:t>
      </w:r>
      <w:r w:rsidRPr="007A4D31">
        <w:rPr>
          <w:rFonts w:cs="Arial"/>
          <w:bCs/>
          <w:szCs w:val="24"/>
        </w:rPr>
        <w:t>23 for the completion of the acquisition of the remaining 3 properties within the programme, which will conclude in 2022</w:t>
      </w:r>
      <w:r w:rsidR="007A4D31">
        <w:rPr>
          <w:rFonts w:cs="Arial"/>
          <w:bCs/>
          <w:szCs w:val="24"/>
        </w:rPr>
        <w:t>-</w:t>
      </w:r>
      <w:r w:rsidRPr="007A4D31">
        <w:rPr>
          <w:rFonts w:cs="Arial"/>
          <w:bCs/>
          <w:szCs w:val="24"/>
        </w:rPr>
        <w:t>23. £2.550m is reported as an underspend as a result of legislative changes, effective from 1st April 2021, which prevents the continued use of Right to Buy 1-4-1 receipts being eligible to fund this programme.</w:t>
      </w:r>
    </w:p>
    <w:p w14:paraId="130451E5" w14:textId="77777777" w:rsidR="007A4D31" w:rsidRPr="007A4D31" w:rsidRDefault="007A4D31" w:rsidP="007A4D31">
      <w:pPr>
        <w:pStyle w:val="ListParagraph"/>
        <w:tabs>
          <w:tab w:val="left" w:pos="851"/>
        </w:tabs>
        <w:ind w:left="1418"/>
        <w:jc w:val="both"/>
        <w:rPr>
          <w:rFonts w:cs="Arial"/>
          <w:szCs w:val="24"/>
        </w:rPr>
      </w:pPr>
    </w:p>
    <w:p w14:paraId="5F04A64D" w14:textId="3CA5036E" w:rsidR="007A4D31" w:rsidRPr="007A4D31" w:rsidRDefault="002000B9" w:rsidP="007A4D31">
      <w:pPr>
        <w:pStyle w:val="ListParagraph"/>
        <w:numPr>
          <w:ilvl w:val="0"/>
          <w:numId w:val="33"/>
        </w:numPr>
        <w:tabs>
          <w:tab w:val="left" w:pos="851"/>
        </w:tabs>
        <w:ind w:left="1418"/>
        <w:jc w:val="both"/>
        <w:rPr>
          <w:rFonts w:cs="Arial"/>
          <w:szCs w:val="24"/>
        </w:rPr>
      </w:pPr>
      <w:r w:rsidRPr="007A4D31">
        <w:rPr>
          <w:rFonts w:cs="Arial"/>
          <w:bCs/>
          <w:szCs w:val="24"/>
        </w:rPr>
        <w:t>DFGs (£1.435m)</w:t>
      </w:r>
      <w:r w:rsidR="007A4D31">
        <w:rPr>
          <w:rFonts w:cs="Arial"/>
          <w:bCs/>
          <w:szCs w:val="24"/>
        </w:rPr>
        <w:t>. O</w:t>
      </w:r>
      <w:r w:rsidRPr="007A4D31">
        <w:rPr>
          <w:rFonts w:cs="Arial"/>
          <w:bCs/>
          <w:szCs w:val="24"/>
        </w:rPr>
        <w:t>f this, £1.087m relates to external grant which is being requested to be carried forward into 2022</w:t>
      </w:r>
      <w:r w:rsidR="007A4D31">
        <w:rPr>
          <w:rFonts w:cs="Arial"/>
          <w:bCs/>
          <w:szCs w:val="24"/>
        </w:rPr>
        <w:t>-</w:t>
      </w:r>
      <w:r w:rsidRPr="007A4D31">
        <w:rPr>
          <w:rFonts w:cs="Arial"/>
          <w:bCs/>
          <w:szCs w:val="24"/>
        </w:rPr>
        <w:t>23 to cover remaining contractual commitments that are being undertaken and will be completed in 2022</w:t>
      </w:r>
      <w:r w:rsidR="007A4D31">
        <w:rPr>
          <w:rFonts w:cs="Arial"/>
          <w:bCs/>
          <w:szCs w:val="24"/>
        </w:rPr>
        <w:t>-</w:t>
      </w:r>
      <w:r w:rsidRPr="007A4D31">
        <w:rPr>
          <w:rFonts w:cs="Arial"/>
          <w:bCs/>
          <w:szCs w:val="24"/>
        </w:rPr>
        <w:t>23 and the remainder of the grant be added to next year’s programme. The remaining £348k borrowing is reported as an underspend as a result of lower level of grant applications referrals being received than anticipated in 2021</w:t>
      </w:r>
      <w:r w:rsidR="007A4D31">
        <w:rPr>
          <w:rFonts w:cs="Arial"/>
          <w:bCs/>
          <w:szCs w:val="24"/>
        </w:rPr>
        <w:t>-</w:t>
      </w:r>
      <w:r w:rsidRPr="007A4D31">
        <w:rPr>
          <w:rFonts w:cs="Arial"/>
          <w:bCs/>
          <w:szCs w:val="24"/>
        </w:rPr>
        <w:t>22.</w:t>
      </w:r>
    </w:p>
    <w:p w14:paraId="506CB901" w14:textId="77777777" w:rsidR="007A4D31" w:rsidRPr="007A4D31" w:rsidRDefault="007A4D31" w:rsidP="007A4D31">
      <w:pPr>
        <w:pStyle w:val="ListParagraph"/>
        <w:rPr>
          <w:rFonts w:cs="Arial"/>
          <w:szCs w:val="24"/>
        </w:rPr>
      </w:pPr>
    </w:p>
    <w:p w14:paraId="09475662" w14:textId="73006CB4" w:rsidR="007A4D31" w:rsidRPr="007A4D31" w:rsidRDefault="002000B9" w:rsidP="007A4D31">
      <w:pPr>
        <w:pStyle w:val="ListParagraph"/>
        <w:numPr>
          <w:ilvl w:val="0"/>
          <w:numId w:val="33"/>
        </w:numPr>
        <w:tabs>
          <w:tab w:val="left" w:pos="851"/>
        </w:tabs>
        <w:ind w:left="1418"/>
        <w:jc w:val="both"/>
        <w:rPr>
          <w:rFonts w:cs="Arial"/>
          <w:szCs w:val="24"/>
        </w:rPr>
      </w:pPr>
      <w:r w:rsidRPr="007A4D31">
        <w:rPr>
          <w:rFonts w:cs="Arial"/>
          <w:szCs w:val="24"/>
        </w:rPr>
        <w:t>Empty Properties</w:t>
      </w:r>
      <w:r w:rsidR="007A4D31">
        <w:rPr>
          <w:rFonts w:cs="Arial"/>
          <w:szCs w:val="24"/>
        </w:rPr>
        <w:t xml:space="preserve"> </w:t>
      </w:r>
      <w:r w:rsidRPr="007A4D31">
        <w:rPr>
          <w:rFonts w:cs="Arial"/>
          <w:szCs w:val="24"/>
        </w:rPr>
        <w:t>(£71k). This scheme is a Repair to Lease grant assistance scheme for private landlords to part fund improvements to their empty properties. In return the council secures nomination rights to house families in housing need as an alternative to the more expensive Bed &amp; Breakfast (B&amp;B) emergency accommodation. There has been a reduced level of uptake from property owners for this programme in 2021</w:t>
      </w:r>
      <w:r w:rsidR="007A4D31">
        <w:rPr>
          <w:rFonts w:cs="Arial"/>
          <w:szCs w:val="24"/>
        </w:rPr>
        <w:t>-</w:t>
      </w:r>
      <w:r w:rsidRPr="007A4D31">
        <w:rPr>
          <w:rFonts w:cs="Arial"/>
          <w:szCs w:val="24"/>
        </w:rPr>
        <w:t>22 as the combined deal is no longer financially attractive to most landlords.</w:t>
      </w:r>
      <w:r>
        <w:t xml:space="preserve"> </w:t>
      </w:r>
      <w:r w:rsidR="00E136DA">
        <w:t>However,</w:t>
      </w:r>
      <w:r>
        <w:t xml:space="preserve"> the Direct Let Scheme has been upgraded and we are working </w:t>
      </w:r>
      <w:r>
        <w:lastRenderedPageBreak/>
        <w:t>with Housing Needs to promote Direct Let combined with grant assistance for 2022</w:t>
      </w:r>
      <w:r w:rsidR="007A4D31">
        <w:t>-</w:t>
      </w:r>
      <w:r>
        <w:t>23</w:t>
      </w:r>
    </w:p>
    <w:p w14:paraId="10C9AA39" w14:textId="77777777" w:rsidR="007A4D31" w:rsidRPr="007A4D31" w:rsidRDefault="007A4D31" w:rsidP="007A4D31">
      <w:pPr>
        <w:pStyle w:val="ListParagraph"/>
        <w:rPr>
          <w:rFonts w:cs="Arial"/>
          <w:szCs w:val="24"/>
        </w:rPr>
      </w:pPr>
    </w:p>
    <w:p w14:paraId="0A2EED36" w14:textId="5A509EFC" w:rsidR="002000B9" w:rsidRPr="007A4D31" w:rsidRDefault="002000B9" w:rsidP="007A4D31">
      <w:pPr>
        <w:pStyle w:val="ListParagraph"/>
        <w:numPr>
          <w:ilvl w:val="0"/>
          <w:numId w:val="33"/>
        </w:numPr>
        <w:tabs>
          <w:tab w:val="left" w:pos="851"/>
        </w:tabs>
        <w:ind w:left="1418"/>
        <w:jc w:val="both"/>
        <w:rPr>
          <w:rFonts w:cs="Arial"/>
          <w:szCs w:val="24"/>
        </w:rPr>
      </w:pPr>
      <w:r w:rsidRPr="007A4D31">
        <w:rPr>
          <w:rFonts w:cs="Arial"/>
          <w:szCs w:val="24"/>
        </w:rPr>
        <w:t>Additional Property Acquisition Programme</w:t>
      </w:r>
      <w:r w:rsidR="007A4D31">
        <w:rPr>
          <w:rFonts w:cs="Arial"/>
          <w:szCs w:val="24"/>
        </w:rPr>
        <w:t xml:space="preserve"> </w:t>
      </w:r>
      <w:r w:rsidRPr="007A4D31">
        <w:rPr>
          <w:rFonts w:cs="Arial"/>
          <w:szCs w:val="24"/>
        </w:rPr>
        <w:t>(£5k) underspend as project completed.</w:t>
      </w:r>
    </w:p>
    <w:p w14:paraId="134C2E43" w14:textId="77777777" w:rsidR="000C14C0" w:rsidRPr="00B37833" w:rsidRDefault="000C14C0" w:rsidP="00BF1336">
      <w:pPr>
        <w:pStyle w:val="ListParagraph"/>
        <w:tabs>
          <w:tab w:val="left" w:pos="142"/>
          <w:tab w:val="left" w:pos="284"/>
          <w:tab w:val="left" w:pos="709"/>
        </w:tabs>
        <w:ind w:left="709"/>
        <w:jc w:val="both"/>
        <w:rPr>
          <w:rFonts w:cs="Arial"/>
          <w:b/>
          <w:bCs/>
          <w:color w:val="FF0000"/>
        </w:rPr>
      </w:pPr>
    </w:p>
    <w:p w14:paraId="07AABCF7" w14:textId="77777777" w:rsidR="000C14C0" w:rsidRPr="00B37833" w:rsidRDefault="000C14C0" w:rsidP="00BF1336">
      <w:pPr>
        <w:pStyle w:val="ListParagraph"/>
        <w:tabs>
          <w:tab w:val="left" w:pos="142"/>
          <w:tab w:val="left" w:pos="284"/>
          <w:tab w:val="left" w:pos="709"/>
        </w:tabs>
        <w:ind w:left="709"/>
        <w:jc w:val="both"/>
        <w:rPr>
          <w:rFonts w:cs="Arial"/>
          <w:b/>
          <w:bCs/>
          <w:color w:val="FF0000"/>
        </w:rPr>
      </w:pPr>
    </w:p>
    <w:p w14:paraId="2070843B" w14:textId="6C97692C" w:rsidR="00BF1336" w:rsidRPr="009B2679" w:rsidRDefault="00BF1336" w:rsidP="00BF1336">
      <w:pPr>
        <w:pStyle w:val="ListParagraph"/>
        <w:tabs>
          <w:tab w:val="left" w:pos="142"/>
          <w:tab w:val="left" w:pos="284"/>
          <w:tab w:val="left" w:pos="709"/>
        </w:tabs>
        <w:ind w:left="709"/>
        <w:jc w:val="both"/>
        <w:rPr>
          <w:rFonts w:cs="Arial"/>
          <w:b/>
          <w:bCs/>
        </w:rPr>
      </w:pPr>
      <w:r w:rsidRPr="009B2679">
        <w:rPr>
          <w:rFonts w:cs="Arial"/>
          <w:b/>
          <w:bCs/>
        </w:rPr>
        <w:t>PEOPLE SERVICES</w:t>
      </w:r>
    </w:p>
    <w:p w14:paraId="178D885A" w14:textId="77777777" w:rsidR="00BF1336" w:rsidRPr="009B2679" w:rsidRDefault="00BF1336" w:rsidP="00BF1336">
      <w:pPr>
        <w:pStyle w:val="ListParagraph"/>
        <w:rPr>
          <w:rFonts w:cs="Arial"/>
          <w:bCs/>
          <w:szCs w:val="24"/>
        </w:rPr>
      </w:pPr>
    </w:p>
    <w:p w14:paraId="0EEBDB8E" w14:textId="4FEB9E54" w:rsidR="002B4A5D" w:rsidRPr="009B2679" w:rsidRDefault="002B36BB" w:rsidP="007A4D31">
      <w:pPr>
        <w:pStyle w:val="ListParagraph"/>
        <w:numPr>
          <w:ilvl w:val="1"/>
          <w:numId w:val="13"/>
        </w:numPr>
        <w:tabs>
          <w:tab w:val="left" w:pos="142"/>
          <w:tab w:val="left" w:pos="284"/>
          <w:tab w:val="left" w:pos="709"/>
        </w:tabs>
        <w:ind w:left="709" w:hanging="709"/>
        <w:jc w:val="both"/>
        <w:rPr>
          <w:rFonts w:cs="Arial"/>
        </w:rPr>
      </w:pPr>
      <w:r w:rsidRPr="009B2679">
        <w:rPr>
          <w:rFonts w:cs="Arial"/>
          <w:bCs/>
          <w:szCs w:val="24"/>
        </w:rPr>
        <w:t>The final outturn for the</w:t>
      </w:r>
      <w:r w:rsidR="00C57DF6" w:rsidRPr="009B2679">
        <w:rPr>
          <w:rFonts w:cs="Arial"/>
          <w:bCs/>
          <w:szCs w:val="24"/>
        </w:rPr>
        <w:t xml:space="preserve"> </w:t>
      </w:r>
      <w:r w:rsidR="002D4934" w:rsidRPr="009B2679">
        <w:rPr>
          <w:rFonts w:cs="Arial"/>
          <w:bCs/>
          <w:szCs w:val="24"/>
        </w:rPr>
        <w:t>People Services</w:t>
      </w:r>
      <w:r w:rsidRPr="009B2679">
        <w:rPr>
          <w:rFonts w:cs="Arial"/>
          <w:bCs/>
          <w:szCs w:val="24"/>
        </w:rPr>
        <w:t xml:space="preserve"> capital programme is spend of </w:t>
      </w:r>
      <w:r w:rsidR="009B2679" w:rsidRPr="009B2679">
        <w:rPr>
          <w:rFonts w:cs="Arial"/>
          <w:bCs/>
          <w:szCs w:val="24"/>
        </w:rPr>
        <w:t xml:space="preserve">£2.258m </w:t>
      </w:r>
      <w:r w:rsidRPr="009B2679">
        <w:rPr>
          <w:rFonts w:cs="Arial"/>
          <w:bCs/>
          <w:szCs w:val="24"/>
        </w:rPr>
        <w:t>of a total budget of £</w:t>
      </w:r>
      <w:r w:rsidR="009B2679" w:rsidRPr="009B2679">
        <w:rPr>
          <w:rFonts w:cs="Arial"/>
          <w:bCs/>
          <w:szCs w:val="24"/>
        </w:rPr>
        <w:t>28.886m</w:t>
      </w:r>
      <w:r w:rsidRPr="009B2679">
        <w:rPr>
          <w:rFonts w:cs="Arial"/>
          <w:bCs/>
          <w:szCs w:val="24"/>
        </w:rPr>
        <w:t xml:space="preserve"> which is </w:t>
      </w:r>
      <w:r w:rsidR="009B2679" w:rsidRPr="009B2679">
        <w:rPr>
          <w:rFonts w:cs="Arial"/>
          <w:bCs/>
          <w:szCs w:val="24"/>
        </w:rPr>
        <w:t>8</w:t>
      </w:r>
      <w:r w:rsidRPr="009B2679">
        <w:rPr>
          <w:rFonts w:cs="Arial"/>
          <w:bCs/>
          <w:szCs w:val="24"/>
        </w:rPr>
        <w:t>% of the approved capital budget.</w:t>
      </w:r>
      <w:r w:rsidR="00C57DF6" w:rsidRPr="009B2679">
        <w:rPr>
          <w:rFonts w:cs="Arial"/>
          <w:bCs/>
          <w:szCs w:val="24"/>
        </w:rPr>
        <w:t xml:space="preserve"> </w:t>
      </w:r>
    </w:p>
    <w:p w14:paraId="3C98EFBB" w14:textId="77777777" w:rsidR="002B4A5D" w:rsidRPr="00B37833" w:rsidRDefault="002B4A5D" w:rsidP="002B4A5D">
      <w:pPr>
        <w:pStyle w:val="ListParagraph"/>
        <w:tabs>
          <w:tab w:val="left" w:pos="142"/>
          <w:tab w:val="left" w:pos="284"/>
          <w:tab w:val="left" w:pos="709"/>
        </w:tabs>
        <w:ind w:left="709"/>
        <w:jc w:val="both"/>
        <w:rPr>
          <w:rFonts w:cs="Arial"/>
          <w:color w:val="FF0000"/>
        </w:rPr>
      </w:pPr>
    </w:p>
    <w:p w14:paraId="1F0270AF" w14:textId="09527D2D" w:rsidR="002B4A5D" w:rsidRPr="00DC02F1" w:rsidRDefault="002B4A5D" w:rsidP="007A4D31">
      <w:pPr>
        <w:pStyle w:val="ListParagraph"/>
        <w:numPr>
          <w:ilvl w:val="1"/>
          <w:numId w:val="13"/>
        </w:numPr>
        <w:tabs>
          <w:tab w:val="left" w:pos="142"/>
          <w:tab w:val="left" w:pos="284"/>
          <w:tab w:val="left" w:pos="709"/>
        </w:tabs>
        <w:ind w:left="709" w:hanging="709"/>
        <w:jc w:val="both"/>
        <w:rPr>
          <w:rFonts w:cs="Arial"/>
        </w:rPr>
      </w:pPr>
      <w:r w:rsidRPr="00DC02F1">
        <w:rPr>
          <w:rFonts w:cs="Arial"/>
          <w:b/>
        </w:rPr>
        <w:t xml:space="preserve">Adult Services </w:t>
      </w:r>
    </w:p>
    <w:p w14:paraId="316CB985" w14:textId="49184461" w:rsidR="002B4A5D" w:rsidRPr="00DC02F1" w:rsidRDefault="002B4A5D" w:rsidP="002B4A5D">
      <w:pPr>
        <w:spacing w:after="160" w:line="259" w:lineRule="auto"/>
        <w:contextualSpacing/>
        <w:rPr>
          <w:rFonts w:cs="Arial"/>
          <w:bCs/>
          <w:u w:val="single"/>
        </w:rPr>
      </w:pPr>
    </w:p>
    <w:p w14:paraId="264AE6AF" w14:textId="130DA02D" w:rsidR="002B4A5D" w:rsidRPr="00DC02F1" w:rsidRDefault="002B4A5D" w:rsidP="00DC4C9B">
      <w:pPr>
        <w:pStyle w:val="ListParagraph"/>
        <w:numPr>
          <w:ilvl w:val="1"/>
          <w:numId w:val="13"/>
        </w:numPr>
        <w:tabs>
          <w:tab w:val="left" w:pos="142"/>
          <w:tab w:val="left" w:pos="284"/>
          <w:tab w:val="left" w:pos="709"/>
        </w:tabs>
        <w:spacing w:after="160" w:line="259" w:lineRule="auto"/>
        <w:ind w:left="709" w:hanging="709"/>
        <w:contextualSpacing/>
        <w:jc w:val="both"/>
        <w:rPr>
          <w:rFonts w:cs="Arial"/>
          <w:bCs/>
        </w:rPr>
      </w:pPr>
      <w:r w:rsidRPr="00DC02F1">
        <w:rPr>
          <w:rFonts w:cs="Arial"/>
          <w:bCs/>
          <w:szCs w:val="24"/>
        </w:rPr>
        <w:t>The servic</w:t>
      </w:r>
      <w:r w:rsidRPr="00DC02F1">
        <w:rPr>
          <w:rFonts w:cs="Arial"/>
          <w:bCs/>
        </w:rPr>
        <w:t>e spent £</w:t>
      </w:r>
      <w:r w:rsidR="00192824" w:rsidRPr="00DC02F1">
        <w:rPr>
          <w:rFonts w:cs="Arial"/>
          <w:bCs/>
        </w:rPr>
        <w:t>15k</w:t>
      </w:r>
      <w:r w:rsidRPr="00DC02F1">
        <w:rPr>
          <w:rFonts w:cs="Arial"/>
          <w:bCs/>
        </w:rPr>
        <w:t>m against a budget of £</w:t>
      </w:r>
      <w:r w:rsidR="00192824" w:rsidRPr="00DC02F1">
        <w:rPr>
          <w:rFonts w:cs="Arial"/>
          <w:bCs/>
        </w:rPr>
        <w:t>411k</w:t>
      </w:r>
      <w:r w:rsidRPr="00DC02F1">
        <w:rPr>
          <w:rFonts w:cs="Arial"/>
          <w:bCs/>
        </w:rPr>
        <w:t>, with a variance of £</w:t>
      </w:r>
      <w:r w:rsidR="00DC02F1" w:rsidRPr="00DC02F1">
        <w:rPr>
          <w:rFonts w:cs="Arial"/>
          <w:bCs/>
        </w:rPr>
        <w:t>396k with £395k relating to slippage and £1k underspend.</w:t>
      </w:r>
      <w:r w:rsidR="00AF347B" w:rsidRPr="00DC02F1">
        <w:rPr>
          <w:rFonts w:cs="Arial"/>
          <w:bCs/>
        </w:rPr>
        <w:t xml:space="preserve"> </w:t>
      </w:r>
    </w:p>
    <w:p w14:paraId="757DA111" w14:textId="77777777" w:rsidR="00447352" w:rsidRPr="00DC02F1" w:rsidRDefault="002B4A5D" w:rsidP="007A4D31">
      <w:pPr>
        <w:pStyle w:val="ListParagraph"/>
        <w:numPr>
          <w:ilvl w:val="1"/>
          <w:numId w:val="13"/>
        </w:numPr>
        <w:tabs>
          <w:tab w:val="left" w:pos="142"/>
          <w:tab w:val="left" w:pos="284"/>
          <w:tab w:val="left" w:pos="709"/>
        </w:tabs>
        <w:spacing w:after="160" w:line="259" w:lineRule="auto"/>
        <w:ind w:left="709" w:hanging="709"/>
        <w:contextualSpacing/>
        <w:jc w:val="both"/>
        <w:rPr>
          <w:rFonts w:cs="Arial"/>
          <w:bCs/>
          <w:u w:val="single"/>
        </w:rPr>
      </w:pPr>
      <w:r w:rsidRPr="00DC02F1">
        <w:rPr>
          <w:rFonts w:cs="Arial"/>
          <w:bCs/>
        </w:rPr>
        <w:t>The Slippage relates to the following:</w:t>
      </w:r>
      <w:r w:rsidR="00447352" w:rsidRPr="00DC02F1">
        <w:rPr>
          <w:rFonts w:cs="Arial"/>
          <w:bCs/>
        </w:rPr>
        <w:t xml:space="preserve"> </w:t>
      </w:r>
    </w:p>
    <w:p w14:paraId="41DE08DD" w14:textId="4EC42F4B" w:rsidR="002B4A5D" w:rsidRPr="00DC02F1" w:rsidRDefault="002B4A5D" w:rsidP="002B4A5D">
      <w:pPr>
        <w:pStyle w:val="ListParagraph"/>
        <w:spacing w:after="160" w:line="259" w:lineRule="auto"/>
        <w:contextualSpacing/>
        <w:rPr>
          <w:rFonts w:cs="Arial"/>
          <w:bCs/>
        </w:rPr>
      </w:pPr>
    </w:p>
    <w:p w14:paraId="541BB92D" w14:textId="3496F4CA" w:rsidR="002B4A5D" w:rsidRPr="00DC02F1" w:rsidRDefault="002B4A5D" w:rsidP="007A4D31">
      <w:pPr>
        <w:pStyle w:val="ListParagraph"/>
        <w:numPr>
          <w:ilvl w:val="0"/>
          <w:numId w:val="20"/>
        </w:numPr>
        <w:spacing w:after="160" w:line="259" w:lineRule="auto"/>
        <w:contextualSpacing/>
        <w:rPr>
          <w:rFonts w:cs="Arial"/>
          <w:b/>
          <w:u w:val="single"/>
        </w:rPr>
      </w:pPr>
      <w:r w:rsidRPr="00DC02F1">
        <w:rPr>
          <w:rFonts w:cs="Arial"/>
          <w:bCs/>
        </w:rPr>
        <w:t>Assistive Technology £</w:t>
      </w:r>
      <w:r w:rsidR="00DC02F1" w:rsidRPr="00DC02F1">
        <w:rPr>
          <w:rFonts w:cs="Arial"/>
          <w:bCs/>
        </w:rPr>
        <w:t>270k</w:t>
      </w:r>
      <w:r w:rsidRPr="00DC02F1">
        <w:rPr>
          <w:rFonts w:cs="Arial"/>
          <w:bCs/>
        </w:rPr>
        <w:t xml:space="preserve"> slippage because of delays in the implementation and review of the Assistive Technology pilot. </w:t>
      </w:r>
    </w:p>
    <w:p w14:paraId="7B4FFE0F" w14:textId="77777777" w:rsidR="00E41F8A" w:rsidRPr="00DC02F1" w:rsidRDefault="00E41F8A" w:rsidP="00E41F8A">
      <w:pPr>
        <w:pStyle w:val="ListParagraph"/>
        <w:spacing w:after="160" w:line="259" w:lineRule="auto"/>
        <w:ind w:left="1440"/>
        <w:contextualSpacing/>
        <w:rPr>
          <w:rFonts w:cs="Arial"/>
          <w:b/>
          <w:u w:val="single"/>
        </w:rPr>
      </w:pPr>
    </w:p>
    <w:p w14:paraId="284FAD8E" w14:textId="520A1E5F" w:rsidR="002B4A5D" w:rsidRPr="00DC02F1" w:rsidRDefault="002B4A5D" w:rsidP="007A4D31">
      <w:pPr>
        <w:pStyle w:val="ListParagraph"/>
        <w:numPr>
          <w:ilvl w:val="0"/>
          <w:numId w:val="20"/>
        </w:numPr>
        <w:spacing w:after="160" w:line="259" w:lineRule="auto"/>
        <w:contextualSpacing/>
        <w:rPr>
          <w:rFonts w:cs="Arial"/>
          <w:b/>
          <w:u w:val="single"/>
        </w:rPr>
      </w:pPr>
      <w:r w:rsidRPr="00DC02F1">
        <w:rPr>
          <w:rFonts w:cs="Arial"/>
          <w:bCs/>
        </w:rPr>
        <w:t>In House residential services £</w:t>
      </w:r>
      <w:r w:rsidR="00DC02F1" w:rsidRPr="00DC02F1">
        <w:rPr>
          <w:rFonts w:cs="Arial"/>
          <w:bCs/>
        </w:rPr>
        <w:t>125k</w:t>
      </w:r>
      <w:r w:rsidRPr="00DC02F1">
        <w:rPr>
          <w:rFonts w:cs="Arial"/>
          <w:bCs/>
        </w:rPr>
        <w:t xml:space="preserve"> slippage </w:t>
      </w:r>
      <w:r w:rsidR="00DC02F1" w:rsidRPr="00DC02F1">
        <w:rPr>
          <w:rFonts w:cs="Arial"/>
          <w:bCs/>
        </w:rPr>
        <w:t xml:space="preserve">as a result of </w:t>
      </w:r>
      <w:r w:rsidRPr="00DC02F1">
        <w:rPr>
          <w:rFonts w:cs="Arial"/>
          <w:bCs/>
        </w:rPr>
        <w:t xml:space="preserve">a delay to capital works </w:t>
      </w:r>
      <w:r w:rsidR="00DC02F1" w:rsidRPr="00DC02F1">
        <w:rPr>
          <w:rFonts w:cs="Arial"/>
          <w:bCs/>
        </w:rPr>
        <w:t>in NRCs until 2022-23 as well as projects planned to take place in the new financial year.</w:t>
      </w:r>
      <w:r w:rsidRPr="00DC02F1">
        <w:rPr>
          <w:rFonts w:cs="Arial"/>
          <w:bCs/>
        </w:rPr>
        <w:t xml:space="preserve"> </w:t>
      </w:r>
    </w:p>
    <w:p w14:paraId="11415F2F" w14:textId="77777777" w:rsidR="00E41F8A" w:rsidRPr="00DC02F1" w:rsidRDefault="00E41F8A" w:rsidP="00E41F8A">
      <w:pPr>
        <w:pStyle w:val="ListParagraph"/>
        <w:spacing w:after="160" w:line="259" w:lineRule="auto"/>
        <w:ind w:left="1440"/>
        <w:contextualSpacing/>
        <w:rPr>
          <w:rFonts w:cs="Arial"/>
          <w:b/>
          <w:u w:val="single"/>
        </w:rPr>
      </w:pPr>
    </w:p>
    <w:p w14:paraId="77A256E6" w14:textId="77777777" w:rsidR="002B4A5D" w:rsidRPr="00DC02F1" w:rsidRDefault="002B4A5D" w:rsidP="007A4D31">
      <w:pPr>
        <w:pStyle w:val="ListParagraph"/>
        <w:numPr>
          <w:ilvl w:val="1"/>
          <w:numId w:val="13"/>
        </w:numPr>
        <w:tabs>
          <w:tab w:val="left" w:pos="142"/>
          <w:tab w:val="left" w:pos="284"/>
          <w:tab w:val="left" w:pos="709"/>
        </w:tabs>
        <w:spacing w:after="160" w:line="259" w:lineRule="auto"/>
        <w:ind w:left="709" w:hanging="709"/>
        <w:contextualSpacing/>
        <w:jc w:val="both"/>
        <w:rPr>
          <w:rFonts w:cs="Arial"/>
          <w:b/>
          <w:u w:val="single"/>
        </w:rPr>
      </w:pPr>
      <w:r w:rsidRPr="00DC02F1">
        <w:rPr>
          <w:rFonts w:cs="Arial"/>
          <w:b/>
        </w:rPr>
        <w:t>Public Health</w:t>
      </w:r>
    </w:p>
    <w:p w14:paraId="766AC339" w14:textId="77777777" w:rsidR="002B4A5D" w:rsidRPr="00DC02F1" w:rsidRDefault="002B4A5D" w:rsidP="002B4A5D">
      <w:pPr>
        <w:pStyle w:val="ListParagraph"/>
        <w:tabs>
          <w:tab w:val="left" w:pos="142"/>
          <w:tab w:val="left" w:pos="284"/>
          <w:tab w:val="left" w:pos="709"/>
        </w:tabs>
        <w:spacing w:after="160" w:line="259" w:lineRule="auto"/>
        <w:ind w:left="709"/>
        <w:contextualSpacing/>
        <w:jc w:val="both"/>
        <w:rPr>
          <w:rFonts w:cs="Arial"/>
          <w:u w:val="single"/>
        </w:rPr>
      </w:pPr>
    </w:p>
    <w:p w14:paraId="39D8F7CE" w14:textId="7ECF6021" w:rsidR="002B4A5D" w:rsidRPr="00DC02F1" w:rsidRDefault="002B4A5D" w:rsidP="007A4D31">
      <w:pPr>
        <w:pStyle w:val="ListParagraph"/>
        <w:numPr>
          <w:ilvl w:val="1"/>
          <w:numId w:val="13"/>
        </w:numPr>
        <w:tabs>
          <w:tab w:val="left" w:pos="142"/>
          <w:tab w:val="left" w:pos="284"/>
          <w:tab w:val="left" w:pos="709"/>
        </w:tabs>
        <w:spacing w:after="160" w:line="259" w:lineRule="auto"/>
        <w:ind w:left="709" w:hanging="709"/>
        <w:contextualSpacing/>
        <w:jc w:val="both"/>
        <w:rPr>
          <w:rFonts w:cs="Arial"/>
          <w:b/>
          <w:u w:val="single"/>
        </w:rPr>
      </w:pPr>
      <w:r w:rsidRPr="00DC02F1">
        <w:rPr>
          <w:rFonts w:cs="Arial"/>
          <w:lang w:eastAsia="en-GB"/>
        </w:rPr>
        <w:t>The service received funding from the Healthy Pupils Capital Fund ring fenced grant of £</w:t>
      </w:r>
      <w:r w:rsidR="00DC02F1" w:rsidRPr="00DC02F1">
        <w:rPr>
          <w:rFonts w:cs="Arial"/>
          <w:lang w:eastAsia="en-GB"/>
        </w:rPr>
        <w:t>174k</w:t>
      </w:r>
      <w:r w:rsidRPr="00DC02F1">
        <w:rPr>
          <w:rFonts w:cs="Arial"/>
          <w:lang w:eastAsia="en-GB"/>
        </w:rPr>
        <w:t xml:space="preserve"> in 2018</w:t>
      </w:r>
      <w:r w:rsidR="00DC02F1" w:rsidRPr="00DC02F1">
        <w:rPr>
          <w:rFonts w:cs="Arial"/>
          <w:lang w:eastAsia="en-GB"/>
        </w:rPr>
        <w:t>-</w:t>
      </w:r>
      <w:r w:rsidRPr="00DC02F1">
        <w:rPr>
          <w:rFonts w:cs="Arial"/>
          <w:lang w:eastAsia="en-GB"/>
        </w:rPr>
        <w:t>19, of which £16</w:t>
      </w:r>
      <w:r w:rsidR="00DC02F1" w:rsidRPr="00DC02F1">
        <w:rPr>
          <w:rFonts w:cs="Arial"/>
          <w:lang w:eastAsia="en-GB"/>
        </w:rPr>
        <w:t xml:space="preserve">8k </w:t>
      </w:r>
      <w:r w:rsidRPr="00DC02F1">
        <w:rPr>
          <w:rFonts w:cs="Arial"/>
          <w:lang w:eastAsia="en-GB"/>
        </w:rPr>
        <w:t>has been spent to date, with £</w:t>
      </w:r>
      <w:r w:rsidR="00DC02F1" w:rsidRPr="00DC02F1">
        <w:rPr>
          <w:rFonts w:cs="Arial"/>
          <w:lang w:eastAsia="en-GB"/>
        </w:rPr>
        <w:t>6</w:t>
      </w:r>
      <w:r w:rsidRPr="00DC02F1">
        <w:rPr>
          <w:rFonts w:cs="Arial"/>
          <w:lang w:eastAsia="en-GB"/>
        </w:rPr>
        <w:t>k slipping into 202</w:t>
      </w:r>
      <w:r w:rsidR="00DC02F1" w:rsidRPr="00DC02F1">
        <w:rPr>
          <w:rFonts w:cs="Arial"/>
          <w:lang w:eastAsia="en-GB"/>
        </w:rPr>
        <w:t>2-23</w:t>
      </w:r>
      <w:r w:rsidRPr="00DC02F1">
        <w:rPr>
          <w:rFonts w:cs="Arial"/>
          <w:lang w:eastAsia="en-GB"/>
        </w:rPr>
        <w:t xml:space="preserve">. </w:t>
      </w:r>
    </w:p>
    <w:p w14:paraId="53A771CD" w14:textId="77777777" w:rsidR="002B4A5D" w:rsidRPr="00F54CA0" w:rsidRDefault="002B4A5D" w:rsidP="002B4A5D">
      <w:pPr>
        <w:pStyle w:val="ListParagraph"/>
        <w:rPr>
          <w:rFonts w:cs="Arial"/>
          <w:b/>
          <w:bCs/>
          <w:szCs w:val="24"/>
        </w:rPr>
      </w:pPr>
    </w:p>
    <w:p w14:paraId="52477039" w14:textId="2410F6CE" w:rsidR="00BF1336" w:rsidRPr="00F54CA0" w:rsidRDefault="00BF1336" w:rsidP="007A4D31">
      <w:pPr>
        <w:pStyle w:val="ListParagraph"/>
        <w:numPr>
          <w:ilvl w:val="1"/>
          <w:numId w:val="13"/>
        </w:numPr>
        <w:tabs>
          <w:tab w:val="left" w:pos="142"/>
          <w:tab w:val="left" w:pos="284"/>
          <w:tab w:val="left" w:pos="709"/>
        </w:tabs>
        <w:spacing w:after="160" w:line="259" w:lineRule="auto"/>
        <w:ind w:left="709" w:hanging="709"/>
        <w:contextualSpacing/>
        <w:jc w:val="both"/>
        <w:rPr>
          <w:rFonts w:cs="Arial"/>
          <w:b/>
          <w:u w:val="single"/>
        </w:rPr>
      </w:pPr>
      <w:r w:rsidRPr="00F54CA0">
        <w:rPr>
          <w:rFonts w:cs="Arial"/>
          <w:b/>
          <w:bCs/>
          <w:szCs w:val="24"/>
        </w:rPr>
        <w:t>Children’s Services</w:t>
      </w:r>
    </w:p>
    <w:p w14:paraId="095D4FD1" w14:textId="77777777" w:rsidR="00BF1336" w:rsidRPr="00F54CA0" w:rsidRDefault="00BF1336" w:rsidP="00BF1336">
      <w:pPr>
        <w:pStyle w:val="ListParagraph"/>
        <w:tabs>
          <w:tab w:val="left" w:pos="142"/>
          <w:tab w:val="left" w:pos="284"/>
          <w:tab w:val="left" w:pos="709"/>
        </w:tabs>
        <w:ind w:left="709"/>
        <w:jc w:val="both"/>
        <w:rPr>
          <w:rFonts w:cs="Arial"/>
          <w:szCs w:val="24"/>
        </w:rPr>
      </w:pPr>
    </w:p>
    <w:p w14:paraId="3BB50303" w14:textId="0C2D4AFE" w:rsidR="00D461E5" w:rsidRPr="009B2679" w:rsidRDefault="00F54CA0" w:rsidP="007A4D31">
      <w:pPr>
        <w:pStyle w:val="ListParagraph"/>
        <w:numPr>
          <w:ilvl w:val="1"/>
          <w:numId w:val="13"/>
        </w:numPr>
        <w:tabs>
          <w:tab w:val="left" w:pos="142"/>
          <w:tab w:val="left" w:pos="284"/>
          <w:tab w:val="left" w:pos="709"/>
        </w:tabs>
        <w:ind w:left="709" w:hanging="709"/>
        <w:jc w:val="both"/>
        <w:rPr>
          <w:rFonts w:cs="Arial"/>
          <w:szCs w:val="24"/>
        </w:rPr>
      </w:pPr>
      <w:r w:rsidRPr="00F54CA0">
        <w:rPr>
          <w:rFonts w:cs="Arial"/>
        </w:rPr>
        <w:t xml:space="preserve">Children’s Services capital budget in </w:t>
      </w:r>
      <w:r w:rsidRPr="009B2679">
        <w:rPr>
          <w:rFonts w:cs="Arial"/>
        </w:rPr>
        <w:t xml:space="preserve">2021-22 is £28.466m. In total </w:t>
      </w:r>
      <w:r w:rsidR="009B2679" w:rsidRPr="009B2679">
        <w:rPr>
          <w:rFonts w:cs="Arial"/>
        </w:rPr>
        <w:t>£25.824m</w:t>
      </w:r>
      <w:r w:rsidRPr="009B2679">
        <w:rPr>
          <w:rFonts w:cs="Arial"/>
        </w:rPr>
        <w:t xml:space="preserve"> has been </w:t>
      </w:r>
      <w:r w:rsidR="00E136DA" w:rsidRPr="009B2679">
        <w:rPr>
          <w:rFonts w:cs="Arial"/>
        </w:rPr>
        <w:t>slipped</w:t>
      </w:r>
      <w:r w:rsidRPr="009B2679">
        <w:rPr>
          <w:rFonts w:cs="Arial"/>
        </w:rPr>
        <w:t xml:space="preserve"> to future years. The majority of the slippage relates to external grant funding allocated for basic need school places. However, at present the school roll projects do not indicate that there is a need for permanent expansion at this time.</w:t>
      </w:r>
    </w:p>
    <w:p w14:paraId="2A415971" w14:textId="77777777" w:rsidR="00D461E5" w:rsidRPr="009B2679" w:rsidRDefault="00D461E5" w:rsidP="00D461E5">
      <w:pPr>
        <w:pStyle w:val="ListParagraph"/>
        <w:rPr>
          <w:rFonts w:cs="Arial"/>
        </w:rPr>
      </w:pPr>
    </w:p>
    <w:p w14:paraId="29B05CAC" w14:textId="7AE8453C" w:rsidR="00BF1336" w:rsidRPr="009B2679" w:rsidRDefault="00233A07" w:rsidP="007A4D31">
      <w:pPr>
        <w:pStyle w:val="ListParagraph"/>
        <w:numPr>
          <w:ilvl w:val="1"/>
          <w:numId w:val="13"/>
        </w:numPr>
        <w:tabs>
          <w:tab w:val="left" w:pos="142"/>
          <w:tab w:val="left" w:pos="284"/>
          <w:tab w:val="left" w:pos="709"/>
        </w:tabs>
        <w:ind w:left="709" w:hanging="709"/>
        <w:jc w:val="both"/>
        <w:rPr>
          <w:rFonts w:cs="Arial"/>
          <w:szCs w:val="24"/>
        </w:rPr>
      </w:pPr>
      <w:r w:rsidRPr="009B2679">
        <w:rPr>
          <w:rFonts w:cs="Arial"/>
        </w:rPr>
        <w:t>There are no revenue implications as a result of this slippage.</w:t>
      </w:r>
    </w:p>
    <w:p w14:paraId="43B666D2" w14:textId="06343679" w:rsidR="00BF1336" w:rsidRPr="00B37833" w:rsidRDefault="00BF1336" w:rsidP="00BF1336">
      <w:pPr>
        <w:pStyle w:val="ListParagraph"/>
        <w:tabs>
          <w:tab w:val="left" w:pos="142"/>
          <w:tab w:val="left" w:pos="284"/>
          <w:tab w:val="left" w:pos="709"/>
        </w:tabs>
        <w:ind w:left="709"/>
        <w:jc w:val="both"/>
        <w:rPr>
          <w:rFonts w:cs="Arial"/>
          <w:b/>
          <w:bCs/>
          <w:color w:val="FF0000"/>
          <w:szCs w:val="24"/>
        </w:rPr>
      </w:pPr>
    </w:p>
    <w:p w14:paraId="76615D84" w14:textId="07610FC1" w:rsidR="004D3E97" w:rsidRPr="004D3E97" w:rsidRDefault="00BF1336" w:rsidP="004D3E97">
      <w:pPr>
        <w:pStyle w:val="ListParagraph"/>
        <w:tabs>
          <w:tab w:val="left" w:pos="142"/>
          <w:tab w:val="left" w:pos="284"/>
          <w:tab w:val="left" w:pos="709"/>
        </w:tabs>
        <w:ind w:left="709"/>
        <w:jc w:val="both"/>
        <w:rPr>
          <w:rFonts w:cs="Arial"/>
          <w:szCs w:val="24"/>
        </w:rPr>
      </w:pPr>
      <w:r w:rsidRPr="004D3E97">
        <w:rPr>
          <w:rFonts w:cs="Arial"/>
          <w:b/>
          <w:bCs/>
          <w:szCs w:val="24"/>
        </w:rPr>
        <w:t>HOUSING REVENUE ACCOUNT</w:t>
      </w:r>
    </w:p>
    <w:p w14:paraId="090BD133" w14:textId="77777777" w:rsidR="004D3E97" w:rsidRPr="004D3E97" w:rsidRDefault="004D3E97" w:rsidP="004D3E97">
      <w:pPr>
        <w:pStyle w:val="ListParagraph"/>
        <w:tabs>
          <w:tab w:val="left" w:pos="142"/>
          <w:tab w:val="left" w:pos="284"/>
          <w:tab w:val="left" w:pos="709"/>
        </w:tabs>
        <w:ind w:left="709" w:right="2"/>
        <w:contextualSpacing/>
        <w:jc w:val="both"/>
        <w:rPr>
          <w:rFonts w:cs="Arial"/>
        </w:rPr>
      </w:pPr>
    </w:p>
    <w:p w14:paraId="28FC2C8C" w14:textId="128D1943"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color w:val="FF0000"/>
        </w:rPr>
      </w:pPr>
      <w:r w:rsidRPr="004D3E97">
        <w:rPr>
          <w:rFonts w:cs="Arial"/>
          <w:bCs/>
          <w:szCs w:val="24"/>
        </w:rPr>
        <w:t xml:space="preserve">The HRA Capital programme spent £30.529m against a budget of £102.645m. £2.975m is reported as underspend and £51.980m relates to realignment of </w:t>
      </w:r>
      <w:r w:rsidRPr="004D3E97">
        <w:rPr>
          <w:rFonts w:cs="Arial"/>
          <w:bCs/>
          <w:szCs w:val="24"/>
        </w:rPr>
        <w:lastRenderedPageBreak/>
        <w:t xml:space="preserve">Housing Revenue Account (HRA) capital budgets as agreed by the </w:t>
      </w:r>
      <w:r>
        <w:t xml:space="preserve">HRA 2022-23 &amp; Medium-Term Financial Strategy (MTFS) 2023-24 to 2024-25 by </w:t>
      </w:r>
      <w:r>
        <w:rPr>
          <w:rFonts w:cs="Arial"/>
          <w:bCs/>
          <w:szCs w:val="24"/>
        </w:rPr>
        <w:t>Cabinet in February.</w:t>
      </w:r>
    </w:p>
    <w:p w14:paraId="6D45B858" w14:textId="77777777" w:rsidR="004D3E97" w:rsidRDefault="004D3E97" w:rsidP="004D3E97">
      <w:pPr>
        <w:tabs>
          <w:tab w:val="left" w:pos="567"/>
        </w:tabs>
        <w:jc w:val="both"/>
        <w:rPr>
          <w:rFonts w:cs="Arial"/>
          <w:color w:val="FF0000"/>
          <w:szCs w:val="24"/>
          <w:highlight w:val="yellow"/>
        </w:rPr>
      </w:pPr>
    </w:p>
    <w:p w14:paraId="73F8A2F9" w14:textId="4DD9C72E"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szCs w:val="24"/>
        </w:rPr>
      </w:pPr>
      <w:r w:rsidRPr="004D3E97">
        <w:rPr>
          <w:rFonts w:cs="Arial"/>
          <w:bCs/>
          <w:szCs w:val="24"/>
        </w:rPr>
        <w:t xml:space="preserve">£18.322m of funding is proposed to be carried forward to 2022-23 and relates mainly to the following projects. </w:t>
      </w:r>
      <w:bookmarkStart w:id="15" w:name="_Hlk93916010"/>
    </w:p>
    <w:p w14:paraId="24911A2D" w14:textId="77777777" w:rsidR="004D3E97" w:rsidRPr="004D3E97" w:rsidRDefault="004D3E97" w:rsidP="004D3E97">
      <w:pPr>
        <w:pStyle w:val="ListParagraph"/>
        <w:rPr>
          <w:rFonts w:cs="Arial"/>
          <w:bCs/>
          <w:szCs w:val="24"/>
        </w:rPr>
      </w:pPr>
    </w:p>
    <w:p w14:paraId="5C55E7F3"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Planned Investment</w:t>
      </w:r>
      <w:r>
        <w:rPr>
          <w:rFonts w:cs="Arial"/>
          <w:bCs/>
          <w:szCs w:val="24"/>
        </w:rPr>
        <w:t xml:space="preserve"> – </w:t>
      </w:r>
      <w:r w:rsidRPr="004D3E97">
        <w:rPr>
          <w:rFonts w:cs="Arial"/>
          <w:bCs/>
          <w:szCs w:val="24"/>
        </w:rPr>
        <w:t>£6</w:t>
      </w:r>
      <w:r>
        <w:rPr>
          <w:rFonts w:cs="Arial"/>
          <w:bCs/>
          <w:szCs w:val="24"/>
        </w:rPr>
        <w:t>.</w:t>
      </w:r>
      <w:r w:rsidRPr="004D3E97">
        <w:rPr>
          <w:rFonts w:cs="Arial"/>
          <w:bCs/>
          <w:szCs w:val="24"/>
        </w:rPr>
        <w:t>375m is proposed to be carried forward into 2022/23.</w:t>
      </w:r>
      <w:r>
        <w:rPr>
          <w:rFonts w:cs="Arial"/>
          <w:bCs/>
          <w:szCs w:val="24"/>
        </w:rPr>
        <w:t xml:space="preserve"> </w:t>
      </w:r>
    </w:p>
    <w:p w14:paraId="10657F90" w14:textId="77777777" w:rsidR="004D3E97" w:rsidRDefault="004D3E97" w:rsidP="004D3E97">
      <w:pPr>
        <w:pStyle w:val="ListParagraph"/>
        <w:tabs>
          <w:tab w:val="left" w:pos="142"/>
          <w:tab w:val="left" w:pos="284"/>
          <w:tab w:val="left" w:pos="709"/>
        </w:tabs>
        <w:ind w:left="1418" w:right="2"/>
        <w:contextualSpacing/>
        <w:jc w:val="both"/>
        <w:rPr>
          <w:rFonts w:cs="Arial"/>
          <w:bCs/>
          <w:szCs w:val="24"/>
        </w:rPr>
      </w:pPr>
    </w:p>
    <w:p w14:paraId="3DF284E2" w14:textId="22B44D4C" w:rsidR="004D3E97" w:rsidRPr="004D3E97" w:rsidRDefault="004D3E97" w:rsidP="004D3E97">
      <w:pPr>
        <w:pStyle w:val="ListParagraph"/>
        <w:tabs>
          <w:tab w:val="left" w:pos="142"/>
          <w:tab w:val="left" w:pos="284"/>
          <w:tab w:val="left" w:pos="709"/>
        </w:tabs>
        <w:ind w:left="1418" w:right="2"/>
        <w:contextualSpacing/>
        <w:jc w:val="both"/>
        <w:rPr>
          <w:rFonts w:cs="Arial"/>
          <w:szCs w:val="24"/>
        </w:rPr>
      </w:pPr>
      <w:r w:rsidRPr="004D3E97">
        <w:rPr>
          <w:rFonts w:cs="Arial"/>
          <w:bCs/>
          <w:szCs w:val="24"/>
        </w:rPr>
        <w:t xml:space="preserve">The significant </w:t>
      </w:r>
      <w:r w:rsidR="00452CAC" w:rsidRPr="004D3E97">
        <w:rPr>
          <w:rFonts w:cs="Arial"/>
          <w:bCs/>
          <w:szCs w:val="24"/>
        </w:rPr>
        <w:t>slippages are</w:t>
      </w:r>
      <w:r w:rsidRPr="004D3E97">
        <w:rPr>
          <w:rFonts w:cs="Arial"/>
          <w:bCs/>
          <w:szCs w:val="24"/>
        </w:rPr>
        <w:t xml:space="preserve"> in respect of: </w:t>
      </w:r>
    </w:p>
    <w:p w14:paraId="20654D79" w14:textId="77777777" w:rsidR="004D3E97" w:rsidRPr="004D3E97" w:rsidRDefault="004D3E97" w:rsidP="004D3E97">
      <w:pPr>
        <w:pStyle w:val="ListParagraph"/>
        <w:tabs>
          <w:tab w:val="left" w:pos="142"/>
          <w:tab w:val="left" w:pos="284"/>
          <w:tab w:val="left" w:pos="709"/>
        </w:tabs>
        <w:ind w:left="1418" w:right="2"/>
        <w:contextualSpacing/>
        <w:jc w:val="both"/>
        <w:rPr>
          <w:rFonts w:cs="Arial"/>
          <w:szCs w:val="24"/>
        </w:rPr>
      </w:pPr>
    </w:p>
    <w:p w14:paraId="062027DA"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proofErr w:type="spellStart"/>
      <w:r w:rsidRPr="004D3E97">
        <w:rPr>
          <w:rFonts w:cs="Arial"/>
          <w:bCs/>
          <w:szCs w:val="24"/>
        </w:rPr>
        <w:t>Meadfield</w:t>
      </w:r>
      <w:proofErr w:type="spellEnd"/>
      <w:r w:rsidRPr="004D3E97">
        <w:rPr>
          <w:rFonts w:cs="Arial"/>
          <w:bCs/>
          <w:szCs w:val="24"/>
        </w:rPr>
        <w:t xml:space="preserve"> &amp; Cornell scheme (£1.494m) Delays in finalising the specification has resulted in reprofile of scheme into 2022</w:t>
      </w:r>
      <w:r>
        <w:rPr>
          <w:rFonts w:cs="Arial"/>
          <w:bCs/>
          <w:szCs w:val="24"/>
        </w:rPr>
        <w:t>-</w:t>
      </w:r>
      <w:r w:rsidRPr="004D3E97">
        <w:rPr>
          <w:rFonts w:cs="Arial"/>
          <w:bCs/>
          <w:szCs w:val="24"/>
        </w:rPr>
        <w:t>23.</w:t>
      </w:r>
    </w:p>
    <w:p w14:paraId="59A2AB0A" w14:textId="77777777" w:rsidR="004D3E97" w:rsidRPr="004D3E97" w:rsidRDefault="004D3E97" w:rsidP="004D3E97">
      <w:pPr>
        <w:pStyle w:val="ListParagraph"/>
        <w:tabs>
          <w:tab w:val="left" w:pos="142"/>
          <w:tab w:val="left" w:pos="284"/>
          <w:tab w:val="left" w:pos="709"/>
        </w:tabs>
        <w:ind w:left="1418" w:right="2"/>
        <w:contextualSpacing/>
        <w:jc w:val="both"/>
        <w:rPr>
          <w:rFonts w:cs="Arial"/>
          <w:szCs w:val="24"/>
        </w:rPr>
      </w:pPr>
    </w:p>
    <w:p w14:paraId="69E2CCC9"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Health Safety 3 programme (£2.293m) Only one tender was received which required the contract specification to be increased and re-tendered.</w:t>
      </w:r>
    </w:p>
    <w:p w14:paraId="3CD72664" w14:textId="77777777" w:rsidR="004D3E97" w:rsidRPr="004D3E97" w:rsidRDefault="004D3E97" w:rsidP="004D3E97">
      <w:pPr>
        <w:pStyle w:val="ListParagraph"/>
        <w:rPr>
          <w:rFonts w:cs="Arial"/>
          <w:bCs/>
          <w:szCs w:val="24"/>
        </w:rPr>
      </w:pPr>
    </w:p>
    <w:p w14:paraId="7389EC0B" w14:textId="283A7BFE"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Structural underpinning works (two schemes) (£0.607m) continuing issues with decanting residents and delays in procurement have resulted in these schemes being slipped into 2022-23</w:t>
      </w:r>
    </w:p>
    <w:p w14:paraId="0D315DC8" w14:textId="77777777" w:rsidR="004D3E97" w:rsidRPr="004D3E97" w:rsidRDefault="004D3E97" w:rsidP="004D3E97">
      <w:pPr>
        <w:pStyle w:val="ListParagraph"/>
        <w:rPr>
          <w:rFonts w:cs="Arial"/>
          <w:bCs/>
          <w:szCs w:val="24"/>
        </w:rPr>
      </w:pPr>
    </w:p>
    <w:p w14:paraId="04B2029B"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 xml:space="preserve">Decarbonisation (£0.134m) this carry forward was approved by cabinet. </w:t>
      </w:r>
    </w:p>
    <w:p w14:paraId="3C1AAFBA" w14:textId="77777777" w:rsidR="004D3E97" w:rsidRPr="004D3E97" w:rsidRDefault="004D3E97" w:rsidP="004D3E97">
      <w:pPr>
        <w:pStyle w:val="ListParagraph"/>
        <w:rPr>
          <w:rFonts w:cs="Arial"/>
          <w:bCs/>
          <w:szCs w:val="24"/>
        </w:rPr>
      </w:pPr>
    </w:p>
    <w:p w14:paraId="06755EA4"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Dickson fold land purchase (£0.342m) agreement still to be reached on price for acquisition of land for housing properties.</w:t>
      </w:r>
    </w:p>
    <w:p w14:paraId="5FBC5D9E" w14:textId="77777777" w:rsidR="004D3E97" w:rsidRPr="004D3E97" w:rsidRDefault="004D3E97" w:rsidP="004D3E97">
      <w:pPr>
        <w:pStyle w:val="ListParagraph"/>
        <w:rPr>
          <w:rFonts w:cs="Arial"/>
          <w:bCs/>
          <w:szCs w:val="24"/>
        </w:rPr>
      </w:pPr>
    </w:p>
    <w:p w14:paraId="23BEB238" w14:textId="77777777"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Aids and adaptation (£0.145m) reduction in number of referrals in 2021/22.</w:t>
      </w:r>
    </w:p>
    <w:p w14:paraId="65C7D9CB" w14:textId="77777777" w:rsidR="004D3E97" w:rsidRPr="004D3E97" w:rsidRDefault="004D3E97" w:rsidP="004D3E97">
      <w:pPr>
        <w:pStyle w:val="ListParagraph"/>
        <w:rPr>
          <w:rFonts w:cs="Arial"/>
          <w:bCs/>
          <w:szCs w:val="24"/>
        </w:rPr>
      </w:pPr>
    </w:p>
    <w:p w14:paraId="1F581F4E" w14:textId="29346975" w:rsidR="004D3E97" w:rsidRPr="004D3E97" w:rsidRDefault="004D3E97" w:rsidP="004D3E97">
      <w:pPr>
        <w:pStyle w:val="ListParagraph"/>
        <w:numPr>
          <w:ilvl w:val="0"/>
          <w:numId w:val="40"/>
        </w:numPr>
        <w:tabs>
          <w:tab w:val="left" w:pos="142"/>
          <w:tab w:val="left" w:pos="284"/>
          <w:tab w:val="left" w:pos="709"/>
        </w:tabs>
        <w:ind w:left="1418" w:right="2" w:hanging="284"/>
        <w:contextualSpacing/>
        <w:jc w:val="both"/>
        <w:rPr>
          <w:rFonts w:cs="Arial"/>
          <w:szCs w:val="24"/>
        </w:rPr>
      </w:pPr>
      <w:r w:rsidRPr="004D3E97">
        <w:rPr>
          <w:rFonts w:cs="Arial"/>
          <w:bCs/>
          <w:szCs w:val="24"/>
        </w:rPr>
        <w:t xml:space="preserve">Other schemes (£1.36m) resources issues with contractors, specifications issues, notices to leaseholders, legal challenges and delays in procurement are the main theme for the schemes being carried forward to next year.  </w:t>
      </w:r>
    </w:p>
    <w:p w14:paraId="5ABE646D" w14:textId="2AA192B3" w:rsidR="004D3E97" w:rsidRDefault="004D3E97" w:rsidP="004D3E97">
      <w:pPr>
        <w:tabs>
          <w:tab w:val="left" w:pos="142"/>
          <w:tab w:val="left" w:pos="284"/>
          <w:tab w:val="left" w:pos="709"/>
        </w:tabs>
        <w:ind w:right="2"/>
        <w:contextualSpacing/>
        <w:jc w:val="both"/>
        <w:rPr>
          <w:rFonts w:cs="Arial"/>
          <w:szCs w:val="24"/>
        </w:rPr>
      </w:pPr>
    </w:p>
    <w:p w14:paraId="0F483A74" w14:textId="77777777"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szCs w:val="24"/>
        </w:rPr>
      </w:pPr>
      <w:r>
        <w:rPr>
          <w:rFonts w:cs="Arial"/>
          <w:szCs w:val="24"/>
        </w:rPr>
        <w:t xml:space="preserve">The </w:t>
      </w:r>
      <w:r w:rsidRPr="004D3E97">
        <w:rPr>
          <w:rFonts w:cs="Arial"/>
          <w:bCs/>
          <w:szCs w:val="24"/>
        </w:rPr>
        <w:t>underspend (£1.301m) is due to two schemes:</w:t>
      </w:r>
    </w:p>
    <w:p w14:paraId="614D9B0D" w14:textId="77777777" w:rsidR="004D3E97" w:rsidRDefault="004D3E97" w:rsidP="004D3E97">
      <w:pPr>
        <w:tabs>
          <w:tab w:val="left" w:pos="142"/>
          <w:tab w:val="left" w:pos="284"/>
          <w:tab w:val="left" w:pos="709"/>
        </w:tabs>
        <w:ind w:right="2"/>
        <w:contextualSpacing/>
        <w:jc w:val="both"/>
        <w:rPr>
          <w:rFonts w:cs="Arial"/>
          <w:bCs/>
          <w:szCs w:val="24"/>
        </w:rPr>
      </w:pPr>
    </w:p>
    <w:p w14:paraId="037E2C5C" w14:textId="0086D604" w:rsidR="004D3E97" w:rsidRPr="004D3E97" w:rsidRDefault="004D3E97" w:rsidP="004D3E97">
      <w:pPr>
        <w:pStyle w:val="ListParagraph"/>
        <w:numPr>
          <w:ilvl w:val="0"/>
          <w:numId w:val="41"/>
        </w:numPr>
        <w:tabs>
          <w:tab w:val="left" w:pos="142"/>
          <w:tab w:val="left" w:pos="284"/>
        </w:tabs>
        <w:ind w:left="1418" w:right="2" w:hanging="284"/>
        <w:contextualSpacing/>
        <w:jc w:val="both"/>
        <w:rPr>
          <w:rFonts w:cs="Arial"/>
          <w:szCs w:val="24"/>
        </w:rPr>
      </w:pPr>
      <w:r w:rsidRPr="004D3E97">
        <w:rPr>
          <w:rFonts w:cs="Arial"/>
          <w:bCs/>
          <w:szCs w:val="24"/>
        </w:rPr>
        <w:t>Decarbonisation (£0.866m.) The budget was to match fund grant funding to meets Governments’ Green Initiative targets, which was delayed. A bid is to be made in 2022</w:t>
      </w:r>
      <w:r>
        <w:rPr>
          <w:rFonts w:cs="Arial"/>
          <w:bCs/>
          <w:szCs w:val="24"/>
        </w:rPr>
        <w:t>-</w:t>
      </w:r>
      <w:r w:rsidRPr="004D3E97">
        <w:rPr>
          <w:rFonts w:cs="Arial"/>
          <w:bCs/>
          <w:szCs w:val="24"/>
        </w:rPr>
        <w:t>23 to the Social Housing Decarbonisation fund in conjunction with the GLA and £1.0m has been allocated for this in 2022</w:t>
      </w:r>
      <w:r>
        <w:rPr>
          <w:rFonts w:cs="Arial"/>
          <w:bCs/>
          <w:szCs w:val="24"/>
        </w:rPr>
        <w:t>-</w:t>
      </w:r>
      <w:r w:rsidRPr="004D3E97">
        <w:rPr>
          <w:rFonts w:cs="Arial"/>
          <w:bCs/>
          <w:szCs w:val="24"/>
        </w:rPr>
        <w:t xml:space="preserve">23 Planned Investment budget.  </w:t>
      </w:r>
    </w:p>
    <w:p w14:paraId="1AC8A0F8" w14:textId="77777777" w:rsidR="004D3E97" w:rsidRPr="004D3E97" w:rsidRDefault="004D3E97" w:rsidP="004D3E97">
      <w:pPr>
        <w:pStyle w:val="ListParagraph"/>
        <w:tabs>
          <w:tab w:val="left" w:pos="142"/>
          <w:tab w:val="left" w:pos="284"/>
        </w:tabs>
        <w:ind w:left="1418" w:right="2"/>
        <w:contextualSpacing/>
        <w:jc w:val="both"/>
        <w:rPr>
          <w:rFonts w:cs="Arial"/>
          <w:szCs w:val="24"/>
        </w:rPr>
      </w:pPr>
    </w:p>
    <w:p w14:paraId="184C8481" w14:textId="05745D4E" w:rsidR="004D3E97" w:rsidRPr="004D3E97" w:rsidRDefault="004D3E97" w:rsidP="004D3E97">
      <w:pPr>
        <w:pStyle w:val="ListParagraph"/>
        <w:numPr>
          <w:ilvl w:val="0"/>
          <w:numId w:val="41"/>
        </w:numPr>
        <w:tabs>
          <w:tab w:val="left" w:pos="142"/>
          <w:tab w:val="left" w:pos="284"/>
        </w:tabs>
        <w:ind w:left="1418" w:right="2" w:hanging="284"/>
        <w:contextualSpacing/>
        <w:jc w:val="both"/>
        <w:rPr>
          <w:rFonts w:cs="Arial"/>
          <w:szCs w:val="24"/>
        </w:rPr>
      </w:pPr>
      <w:r w:rsidRPr="004D3E97">
        <w:rPr>
          <w:rFonts w:cs="Arial"/>
          <w:bCs/>
          <w:szCs w:val="24"/>
        </w:rPr>
        <w:t>2 storey fire doors (£0.485m). As a result of delays in procurement, this will now be delivered and funded from the 2022</w:t>
      </w:r>
      <w:r>
        <w:rPr>
          <w:rFonts w:cs="Arial"/>
          <w:bCs/>
          <w:szCs w:val="24"/>
        </w:rPr>
        <w:t>-</w:t>
      </w:r>
      <w:r w:rsidRPr="004D3E97">
        <w:rPr>
          <w:rFonts w:cs="Arial"/>
          <w:bCs/>
          <w:szCs w:val="24"/>
        </w:rPr>
        <w:t xml:space="preserve">23 Planned Investment budget of £8.428m   </w:t>
      </w:r>
    </w:p>
    <w:p w14:paraId="4A840BD9" w14:textId="77777777" w:rsidR="004D3E97" w:rsidRDefault="004D3E97" w:rsidP="004D3E97">
      <w:pPr>
        <w:pStyle w:val="ListParagraph"/>
        <w:tabs>
          <w:tab w:val="left" w:pos="567"/>
        </w:tabs>
        <w:ind w:left="709"/>
        <w:jc w:val="both"/>
        <w:rPr>
          <w:rFonts w:cs="Arial"/>
          <w:color w:val="FF0000"/>
          <w:szCs w:val="24"/>
        </w:rPr>
      </w:pPr>
    </w:p>
    <w:p w14:paraId="62B1D0E9" w14:textId="77777777"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szCs w:val="24"/>
        </w:rPr>
      </w:pPr>
      <w:r w:rsidRPr="004D3E97">
        <w:rPr>
          <w:rFonts w:cs="Arial"/>
        </w:rPr>
        <w:t>Housing ICT scheme – the budget has been reprofiled due to implementation delays and £296k will be carried forward into 2022</w:t>
      </w:r>
      <w:r>
        <w:rPr>
          <w:rFonts w:cs="Arial"/>
        </w:rPr>
        <w:t>-</w:t>
      </w:r>
      <w:r w:rsidRPr="004D3E97">
        <w:rPr>
          <w:rFonts w:cs="Arial"/>
        </w:rPr>
        <w:t xml:space="preserve">23 resulting in a provisional </w:t>
      </w:r>
      <w:r w:rsidRPr="004D3E97">
        <w:rPr>
          <w:rFonts w:cs="Arial"/>
        </w:rPr>
        <w:lastRenderedPageBreak/>
        <w:t>budget for 2022</w:t>
      </w:r>
      <w:r>
        <w:rPr>
          <w:rFonts w:cs="Arial"/>
        </w:rPr>
        <w:t>-</w:t>
      </w:r>
      <w:r w:rsidRPr="004D3E97">
        <w:rPr>
          <w:rFonts w:cs="Arial"/>
        </w:rPr>
        <w:t>23 of £474k, £178k approved February 2021 plus the estimated slippage of £296k</w:t>
      </w:r>
      <w:r w:rsidRPr="004D3E97">
        <w:rPr>
          <w:rFonts w:cs="Arial"/>
          <w:color w:val="FF0000"/>
        </w:rPr>
        <w:t xml:space="preserve">. </w:t>
      </w:r>
    </w:p>
    <w:p w14:paraId="0A24E389" w14:textId="77777777" w:rsidR="004D3E97" w:rsidRPr="004D3E97" w:rsidRDefault="004D3E97" w:rsidP="004D3E97">
      <w:pPr>
        <w:pStyle w:val="ListParagraph"/>
        <w:tabs>
          <w:tab w:val="left" w:pos="142"/>
          <w:tab w:val="left" w:pos="284"/>
          <w:tab w:val="left" w:pos="709"/>
        </w:tabs>
        <w:ind w:left="709" w:right="2"/>
        <w:contextualSpacing/>
        <w:jc w:val="both"/>
        <w:rPr>
          <w:rFonts w:cs="Arial"/>
          <w:szCs w:val="24"/>
        </w:rPr>
      </w:pPr>
    </w:p>
    <w:p w14:paraId="277EE080" w14:textId="139AEAA1"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szCs w:val="24"/>
        </w:rPr>
      </w:pPr>
      <w:r w:rsidRPr="004D3E97">
        <w:rPr>
          <w:rFonts w:eastAsia="Calibri" w:cs="Arial"/>
        </w:rPr>
        <w:t xml:space="preserve">The Building Council Homes for Londoners programme – this has been reviewed and re-profiled to </w:t>
      </w:r>
      <w:proofErr w:type="gramStart"/>
      <w:r w:rsidRPr="004D3E97">
        <w:rPr>
          <w:rFonts w:eastAsia="Calibri" w:cs="Arial"/>
        </w:rPr>
        <w:t>take into account</w:t>
      </w:r>
      <w:proofErr w:type="gramEnd"/>
      <w:r w:rsidRPr="004D3E97">
        <w:rPr>
          <w:rFonts w:eastAsia="Calibri" w:cs="Arial"/>
        </w:rPr>
        <w:t xml:space="preserve"> significant delays in confirming schemes due to the impact of Covid-19. The GLA extended the final programme start on site deadline from 31 March 2022 to 31 March 2023 and new target dates have been agreed </w:t>
      </w:r>
      <w:r w:rsidRPr="004D3E97">
        <w:rPr>
          <w:rFonts w:eastAsia="Calibri" w:cs="Arial"/>
          <w:szCs w:val="24"/>
        </w:rPr>
        <w:t>with the GLA for each scheme and the programme budget has been re-profiled accordingly, resulting in a slippage of £56.523m into future years.</w:t>
      </w:r>
      <w:r w:rsidRPr="004D3E97">
        <w:rPr>
          <w:szCs w:val="24"/>
        </w:rPr>
        <w:t xml:space="preserve"> </w:t>
      </w:r>
      <w:r w:rsidRPr="004D3E97">
        <w:rPr>
          <w:rFonts w:eastAsia="Calibri" w:cs="Arial"/>
          <w:szCs w:val="24"/>
        </w:rPr>
        <w:t>Of this £4.544m is additional slippage above</w:t>
      </w:r>
      <w:r w:rsidR="00452CAC">
        <w:rPr>
          <w:rFonts w:eastAsia="Calibri" w:cs="Arial"/>
          <w:szCs w:val="24"/>
        </w:rPr>
        <w:t xml:space="preserve"> </w:t>
      </w:r>
      <w:r w:rsidR="00452CAC" w:rsidRPr="004D3E97">
        <w:rPr>
          <w:rFonts w:eastAsia="Calibri" w:cs="Arial"/>
          <w:szCs w:val="24"/>
        </w:rPr>
        <w:t>the £</w:t>
      </w:r>
      <w:r w:rsidRPr="004D3E97">
        <w:rPr>
          <w:rFonts w:eastAsia="Calibri" w:cs="Arial"/>
          <w:szCs w:val="24"/>
        </w:rPr>
        <w:t>26.865</w:t>
      </w:r>
      <w:r w:rsidR="00452CAC" w:rsidRPr="004D3E97">
        <w:rPr>
          <w:rFonts w:eastAsia="Calibri" w:cs="Arial"/>
          <w:szCs w:val="24"/>
        </w:rPr>
        <w:t>m already</w:t>
      </w:r>
      <w:r w:rsidRPr="004D3E97">
        <w:rPr>
          <w:rFonts w:eastAsia="Calibri" w:cs="Arial"/>
          <w:szCs w:val="24"/>
        </w:rPr>
        <w:t xml:space="preserve"> c</w:t>
      </w:r>
      <w:r>
        <w:rPr>
          <w:rFonts w:eastAsia="Calibri" w:cs="Arial"/>
          <w:szCs w:val="24"/>
        </w:rPr>
        <w:t>arried forward</w:t>
      </w:r>
      <w:r w:rsidRPr="004D3E97">
        <w:rPr>
          <w:rFonts w:eastAsia="Calibri" w:cs="Arial"/>
          <w:szCs w:val="24"/>
        </w:rPr>
        <w:t xml:space="preserve"> into </w:t>
      </w:r>
      <w:r>
        <w:rPr>
          <w:rFonts w:eastAsia="Calibri" w:cs="Arial"/>
          <w:szCs w:val="24"/>
        </w:rPr>
        <w:t>2022-23 – 2024-25</w:t>
      </w:r>
      <w:r w:rsidRPr="004D3E97">
        <w:rPr>
          <w:rFonts w:eastAsia="Calibri" w:cs="Arial"/>
          <w:szCs w:val="24"/>
        </w:rPr>
        <w:t xml:space="preserve"> and £25.115m HRA realignment approved by </w:t>
      </w:r>
      <w:r>
        <w:rPr>
          <w:rFonts w:eastAsia="Calibri" w:cs="Arial"/>
          <w:szCs w:val="24"/>
        </w:rPr>
        <w:t>C</w:t>
      </w:r>
      <w:r w:rsidRPr="004D3E97">
        <w:rPr>
          <w:rFonts w:eastAsia="Calibri" w:cs="Arial"/>
          <w:szCs w:val="24"/>
        </w:rPr>
        <w:t>abinet</w:t>
      </w:r>
      <w:r>
        <w:rPr>
          <w:rFonts w:eastAsia="Calibri" w:cs="Arial"/>
          <w:szCs w:val="24"/>
        </w:rPr>
        <w:t xml:space="preserve"> in February 2022</w:t>
      </w:r>
      <w:r w:rsidRPr="004D3E97">
        <w:rPr>
          <w:rFonts w:eastAsia="Calibri" w:cs="Arial"/>
          <w:szCs w:val="24"/>
        </w:rPr>
        <w:t>.</w:t>
      </w:r>
    </w:p>
    <w:p w14:paraId="49774DAA" w14:textId="77777777" w:rsidR="004D3E97" w:rsidRPr="004D3E97" w:rsidRDefault="004D3E97" w:rsidP="004D3E97">
      <w:pPr>
        <w:pStyle w:val="ListParagraph"/>
        <w:rPr>
          <w:rFonts w:eastAsia="Calibri" w:cs="Arial"/>
          <w:szCs w:val="24"/>
        </w:rPr>
      </w:pPr>
    </w:p>
    <w:p w14:paraId="1BC8365E" w14:textId="13E5AFFA" w:rsidR="004D3E97" w:rsidRPr="004D3E97" w:rsidRDefault="004D3E97" w:rsidP="004D3E97">
      <w:pPr>
        <w:pStyle w:val="ListParagraph"/>
        <w:numPr>
          <w:ilvl w:val="1"/>
          <w:numId w:val="13"/>
        </w:numPr>
        <w:tabs>
          <w:tab w:val="left" w:pos="142"/>
          <w:tab w:val="left" w:pos="284"/>
          <w:tab w:val="left" w:pos="709"/>
        </w:tabs>
        <w:ind w:left="709" w:right="2" w:hanging="709"/>
        <w:contextualSpacing/>
        <w:jc w:val="both"/>
        <w:rPr>
          <w:rFonts w:cs="Arial"/>
          <w:szCs w:val="24"/>
        </w:rPr>
      </w:pPr>
      <w:r w:rsidRPr="004D3E97">
        <w:rPr>
          <w:rFonts w:eastAsia="Calibri" w:cs="Arial"/>
          <w:szCs w:val="24"/>
        </w:rPr>
        <w:t>Mayors’ Rough Sleeping Accommodation programme –</w:t>
      </w:r>
      <w:bookmarkEnd w:id="15"/>
      <w:r>
        <w:rPr>
          <w:rFonts w:eastAsia="Calibri" w:cs="Arial"/>
          <w:szCs w:val="24"/>
        </w:rPr>
        <w:t xml:space="preserve"> </w:t>
      </w:r>
      <w:r w:rsidRPr="004D3E97">
        <w:rPr>
          <w:rFonts w:eastAsia="Calibri" w:cs="Arial"/>
          <w:szCs w:val="24"/>
        </w:rPr>
        <w:t>8</w:t>
      </w:r>
      <w:r w:rsidRPr="004D3E97">
        <w:rPr>
          <w:rFonts w:cs="Arial"/>
          <w:szCs w:val="24"/>
          <w:lang w:eastAsia="en-GB"/>
        </w:rPr>
        <w:t xml:space="preserve">x </w:t>
      </w:r>
      <w:r w:rsidR="00452CAC" w:rsidRPr="004D3E97">
        <w:rPr>
          <w:rFonts w:cs="Arial"/>
          <w:szCs w:val="24"/>
          <w:lang w:eastAsia="en-GB"/>
        </w:rPr>
        <w:t>1-bedroom</w:t>
      </w:r>
      <w:r w:rsidRPr="004D3E97">
        <w:rPr>
          <w:rFonts w:cs="Arial"/>
          <w:szCs w:val="24"/>
          <w:lang w:eastAsia="en-GB"/>
        </w:rPr>
        <w:t xml:space="preserve"> stable, independent homes </w:t>
      </w:r>
      <w:r w:rsidR="00452CAC" w:rsidRPr="004D3E97">
        <w:rPr>
          <w:rFonts w:cs="Arial"/>
          <w:szCs w:val="24"/>
          <w:lang w:eastAsia="en-GB"/>
        </w:rPr>
        <w:t>with intensive</w:t>
      </w:r>
      <w:r w:rsidRPr="004D3E97">
        <w:rPr>
          <w:rFonts w:cs="Arial"/>
          <w:szCs w:val="24"/>
          <w:lang w:eastAsia="en-GB"/>
        </w:rPr>
        <w:t xml:space="preserve"> personalised support to </w:t>
      </w:r>
      <w:r w:rsidR="00452CAC" w:rsidRPr="004D3E97">
        <w:rPr>
          <w:rFonts w:cs="Arial"/>
          <w:szCs w:val="24"/>
          <w:lang w:eastAsia="en-GB"/>
        </w:rPr>
        <w:t>homeless rough</w:t>
      </w:r>
      <w:r w:rsidRPr="004D3E97">
        <w:rPr>
          <w:rFonts w:cs="Arial"/>
          <w:szCs w:val="24"/>
          <w:lang w:eastAsia="en-GB"/>
        </w:rPr>
        <w:t xml:space="preserve"> sleepers with multiple and complex needs were </w:t>
      </w:r>
      <w:r w:rsidR="00452CAC" w:rsidRPr="004D3E97">
        <w:rPr>
          <w:rFonts w:cs="Arial"/>
          <w:szCs w:val="24"/>
          <w:lang w:eastAsia="en-GB"/>
        </w:rPr>
        <w:t>provided and</w:t>
      </w:r>
      <w:r w:rsidRPr="004D3E97">
        <w:rPr>
          <w:rFonts w:cs="Arial"/>
          <w:szCs w:val="24"/>
          <w:lang w:eastAsia="en-GB"/>
        </w:rPr>
        <w:t xml:space="preserve"> the remaining 1 property (£0.381m </w:t>
      </w:r>
      <w:proofErr w:type="spellStart"/>
      <w:r w:rsidRPr="004D3E97">
        <w:rPr>
          <w:rFonts w:cs="Arial"/>
          <w:szCs w:val="24"/>
          <w:lang w:eastAsia="en-GB"/>
        </w:rPr>
        <w:t>cfwd</w:t>
      </w:r>
      <w:proofErr w:type="spellEnd"/>
      <w:r w:rsidRPr="004D3E97">
        <w:rPr>
          <w:rFonts w:cs="Arial"/>
          <w:szCs w:val="24"/>
          <w:lang w:eastAsia="en-GB"/>
        </w:rPr>
        <w:t>) is being provided in 2022</w:t>
      </w:r>
      <w:r>
        <w:rPr>
          <w:rFonts w:cs="Arial"/>
          <w:szCs w:val="24"/>
          <w:lang w:eastAsia="en-GB"/>
        </w:rPr>
        <w:t>-</w:t>
      </w:r>
      <w:r w:rsidRPr="004D3E97">
        <w:rPr>
          <w:rFonts w:cs="Arial"/>
          <w:szCs w:val="24"/>
          <w:lang w:eastAsia="en-GB"/>
        </w:rPr>
        <w:t>23. Borrowing was used to match fund the external grant, of which £0.514m has been identified as surplus to requirement.</w:t>
      </w:r>
    </w:p>
    <w:p w14:paraId="2F26CD55" w14:textId="77777777" w:rsidR="00CA4CC4" w:rsidRPr="004D3E97" w:rsidRDefault="00CA4CC4" w:rsidP="00CA4CC4">
      <w:pPr>
        <w:tabs>
          <w:tab w:val="left" w:pos="142"/>
          <w:tab w:val="left" w:pos="284"/>
          <w:tab w:val="left" w:pos="709"/>
        </w:tabs>
        <w:ind w:right="2"/>
        <w:contextualSpacing/>
        <w:jc w:val="both"/>
        <w:rPr>
          <w:rFonts w:cs="Arial"/>
          <w:color w:val="FF0000"/>
          <w:szCs w:val="24"/>
        </w:rPr>
      </w:pPr>
    </w:p>
    <w:p w14:paraId="3DE84178" w14:textId="77777777" w:rsidR="000C14C0" w:rsidRPr="00584430" w:rsidRDefault="000C14C0" w:rsidP="00F27BA7">
      <w:pPr>
        <w:jc w:val="both"/>
        <w:rPr>
          <w:b/>
          <w:bCs/>
          <w:szCs w:val="24"/>
        </w:rPr>
      </w:pPr>
    </w:p>
    <w:p w14:paraId="48D403AA" w14:textId="5105BB80" w:rsidR="00F27BA7" w:rsidRPr="00584430" w:rsidRDefault="00F27BA7" w:rsidP="00F27BA7">
      <w:pPr>
        <w:jc w:val="both"/>
        <w:rPr>
          <w:b/>
          <w:bCs/>
          <w:szCs w:val="24"/>
        </w:rPr>
      </w:pPr>
      <w:r w:rsidRPr="00584430">
        <w:rPr>
          <w:b/>
          <w:bCs/>
          <w:szCs w:val="24"/>
        </w:rPr>
        <w:t>A</w:t>
      </w:r>
      <w:r w:rsidR="00CC3A3C">
        <w:rPr>
          <w:b/>
          <w:bCs/>
          <w:szCs w:val="24"/>
        </w:rPr>
        <w:t>DDITIONS</w:t>
      </w:r>
      <w:r w:rsidRPr="00584430">
        <w:rPr>
          <w:b/>
          <w:bCs/>
          <w:szCs w:val="24"/>
        </w:rPr>
        <w:t xml:space="preserve"> </w:t>
      </w:r>
      <w:r w:rsidR="008F1BA1">
        <w:rPr>
          <w:b/>
          <w:bCs/>
          <w:szCs w:val="24"/>
        </w:rPr>
        <w:t xml:space="preserve">AND AMENDMENTS </w:t>
      </w:r>
      <w:r w:rsidRPr="00584430">
        <w:rPr>
          <w:b/>
          <w:bCs/>
          <w:szCs w:val="24"/>
        </w:rPr>
        <w:t>TO THE CAPITAL PROGRAMME</w:t>
      </w:r>
      <w:r w:rsidR="00830DD8" w:rsidRPr="00584430">
        <w:rPr>
          <w:b/>
          <w:bCs/>
          <w:szCs w:val="24"/>
        </w:rPr>
        <w:t xml:space="preserve"> </w:t>
      </w:r>
      <w:r w:rsidR="003756B1" w:rsidRPr="00584430">
        <w:rPr>
          <w:b/>
          <w:bCs/>
          <w:szCs w:val="24"/>
        </w:rPr>
        <w:t>2022-23</w:t>
      </w:r>
    </w:p>
    <w:p w14:paraId="190F6CC4" w14:textId="77777777" w:rsidR="00F27BA7" w:rsidRPr="00584430" w:rsidRDefault="00F27BA7" w:rsidP="00F27BA7">
      <w:pPr>
        <w:jc w:val="both"/>
        <w:rPr>
          <w:szCs w:val="24"/>
        </w:rPr>
      </w:pPr>
    </w:p>
    <w:p w14:paraId="7DEC9E8A" w14:textId="116F8EF6" w:rsidR="00830DD8" w:rsidRPr="00584430" w:rsidRDefault="00C17354" w:rsidP="007A4D31">
      <w:pPr>
        <w:pStyle w:val="ListParagraph"/>
        <w:numPr>
          <w:ilvl w:val="1"/>
          <w:numId w:val="14"/>
        </w:numPr>
        <w:ind w:left="567" w:hanging="567"/>
        <w:jc w:val="both"/>
        <w:rPr>
          <w:szCs w:val="24"/>
        </w:rPr>
      </w:pPr>
      <w:r w:rsidRPr="00584430">
        <w:rPr>
          <w:rFonts w:cs="Arial"/>
          <w:bCs/>
          <w:szCs w:val="24"/>
        </w:rPr>
        <w:t>The following additions required to the Capital Programme</w:t>
      </w:r>
      <w:r w:rsidR="008A39F5" w:rsidRPr="00584430">
        <w:rPr>
          <w:rFonts w:cs="Arial"/>
          <w:bCs/>
          <w:szCs w:val="24"/>
        </w:rPr>
        <w:t xml:space="preserve"> are </w:t>
      </w:r>
      <w:r w:rsidRPr="00584430">
        <w:rPr>
          <w:rFonts w:cs="Arial"/>
          <w:bCs/>
          <w:szCs w:val="24"/>
        </w:rPr>
        <w:t>all funded by grant</w:t>
      </w:r>
      <w:r w:rsidR="006C6B72" w:rsidRPr="00584430">
        <w:rPr>
          <w:rFonts w:cs="Arial"/>
          <w:bCs/>
          <w:szCs w:val="24"/>
        </w:rPr>
        <w:t xml:space="preserve"> </w:t>
      </w:r>
      <w:r w:rsidR="008A39F5" w:rsidRPr="00584430">
        <w:rPr>
          <w:rFonts w:cs="Arial"/>
          <w:bCs/>
          <w:szCs w:val="24"/>
        </w:rPr>
        <w:t>and</w:t>
      </w:r>
      <w:r w:rsidRPr="00584430">
        <w:rPr>
          <w:rFonts w:cs="Arial"/>
          <w:bCs/>
          <w:szCs w:val="24"/>
        </w:rPr>
        <w:t xml:space="preserve"> therefore no additional capital financing costs will be incurred</w:t>
      </w:r>
      <w:r w:rsidR="008A39F5" w:rsidRPr="00584430">
        <w:rPr>
          <w:rFonts w:cs="Arial"/>
          <w:bCs/>
          <w:szCs w:val="24"/>
        </w:rPr>
        <w:t>.</w:t>
      </w:r>
    </w:p>
    <w:p w14:paraId="09A21717" w14:textId="77777777" w:rsidR="008A39F5" w:rsidRPr="00D03ACC" w:rsidRDefault="008A39F5" w:rsidP="008A39F5">
      <w:pPr>
        <w:pStyle w:val="ListParagraph"/>
        <w:ind w:left="567"/>
        <w:jc w:val="both"/>
        <w:rPr>
          <w:szCs w:val="24"/>
        </w:rPr>
      </w:pPr>
    </w:p>
    <w:p w14:paraId="23D5A254" w14:textId="67247FF5" w:rsidR="00830DD8" w:rsidRPr="00D03ACC" w:rsidRDefault="00DD22D7" w:rsidP="00DD22D7">
      <w:pPr>
        <w:pStyle w:val="ListParagraph"/>
        <w:ind w:left="567"/>
        <w:jc w:val="both"/>
        <w:rPr>
          <w:b/>
          <w:szCs w:val="24"/>
        </w:rPr>
      </w:pPr>
      <w:r w:rsidRPr="00D03ACC">
        <w:rPr>
          <w:rFonts w:cs="Arial"/>
          <w:b/>
          <w:szCs w:val="24"/>
        </w:rPr>
        <w:t>Addition</w:t>
      </w:r>
      <w:r w:rsidR="00340394" w:rsidRPr="00D03ACC">
        <w:rPr>
          <w:rFonts w:cs="Arial"/>
          <w:b/>
          <w:szCs w:val="24"/>
        </w:rPr>
        <w:t>s</w:t>
      </w:r>
      <w:r w:rsidRPr="00D03ACC">
        <w:rPr>
          <w:rFonts w:cs="Arial"/>
          <w:b/>
          <w:szCs w:val="24"/>
        </w:rPr>
        <w:t xml:space="preserve"> to the Capital Programme</w:t>
      </w:r>
    </w:p>
    <w:p w14:paraId="4C37E258" w14:textId="77777777" w:rsidR="00830DD8" w:rsidRPr="00B37833" w:rsidRDefault="00830DD8" w:rsidP="00830DD8">
      <w:pPr>
        <w:pStyle w:val="ListParagraph"/>
        <w:rPr>
          <w:color w:val="FF0000"/>
          <w:szCs w:val="24"/>
        </w:rPr>
      </w:pPr>
    </w:p>
    <w:p w14:paraId="52751055" w14:textId="54601EEA" w:rsidR="00D03ACC" w:rsidRPr="00D03ACC" w:rsidRDefault="00D03ACC" w:rsidP="007A4D31">
      <w:pPr>
        <w:pStyle w:val="ListParagraph"/>
        <w:numPr>
          <w:ilvl w:val="1"/>
          <w:numId w:val="14"/>
        </w:numPr>
        <w:ind w:left="567" w:hanging="567"/>
        <w:jc w:val="both"/>
        <w:rPr>
          <w:b/>
          <w:bCs/>
          <w:szCs w:val="24"/>
        </w:rPr>
      </w:pPr>
      <w:r>
        <w:rPr>
          <w:b/>
          <w:bCs/>
          <w:szCs w:val="24"/>
        </w:rPr>
        <w:t>School Condition Allocation - £</w:t>
      </w:r>
      <w:r w:rsidR="00976821">
        <w:rPr>
          <w:b/>
          <w:bCs/>
          <w:szCs w:val="24"/>
        </w:rPr>
        <w:t>1</w:t>
      </w:r>
      <w:r>
        <w:rPr>
          <w:b/>
          <w:bCs/>
          <w:szCs w:val="24"/>
        </w:rPr>
        <w:t>,726,655</w:t>
      </w:r>
    </w:p>
    <w:p w14:paraId="70006C1C" w14:textId="77777777" w:rsidR="00D03ACC" w:rsidRPr="00D03ACC" w:rsidRDefault="00D03ACC" w:rsidP="00D03ACC">
      <w:pPr>
        <w:pStyle w:val="ListParagraph"/>
        <w:rPr>
          <w:szCs w:val="24"/>
        </w:rPr>
      </w:pPr>
    </w:p>
    <w:p w14:paraId="5B406934" w14:textId="324C9333" w:rsidR="00D03ACC" w:rsidRPr="00D03ACC" w:rsidRDefault="00D03ACC" w:rsidP="007A4D31">
      <w:pPr>
        <w:pStyle w:val="ListParagraph"/>
        <w:numPr>
          <w:ilvl w:val="1"/>
          <w:numId w:val="14"/>
        </w:numPr>
        <w:ind w:left="567" w:hanging="567"/>
        <w:jc w:val="both"/>
        <w:rPr>
          <w:szCs w:val="24"/>
        </w:rPr>
      </w:pPr>
      <w:r w:rsidRPr="00D03ACC">
        <w:rPr>
          <w:szCs w:val="24"/>
        </w:rPr>
        <w:t xml:space="preserve">The </w:t>
      </w:r>
      <w:r>
        <w:rPr>
          <w:szCs w:val="24"/>
        </w:rPr>
        <w:t>SCA</w:t>
      </w:r>
      <w:r w:rsidRPr="00D03ACC">
        <w:rPr>
          <w:szCs w:val="24"/>
        </w:rPr>
        <w:t xml:space="preserve"> is provided by the DfE </w:t>
      </w:r>
      <w:r>
        <w:rPr>
          <w:szCs w:val="24"/>
        </w:rPr>
        <w:t>to help LAs maintain and improve the condition of maintained school buildings and grounds.</w:t>
      </w:r>
    </w:p>
    <w:p w14:paraId="5110D39F" w14:textId="77777777" w:rsidR="00D03ACC" w:rsidRPr="001859C2" w:rsidRDefault="00D03ACC" w:rsidP="00D03ACC">
      <w:pPr>
        <w:pStyle w:val="ListParagraph"/>
        <w:rPr>
          <w:szCs w:val="24"/>
        </w:rPr>
      </w:pPr>
    </w:p>
    <w:p w14:paraId="0D934B8A" w14:textId="33B78005" w:rsidR="00D03ACC" w:rsidRPr="001859C2" w:rsidRDefault="00D03ACC" w:rsidP="007A4D31">
      <w:pPr>
        <w:pStyle w:val="ListParagraph"/>
        <w:numPr>
          <w:ilvl w:val="1"/>
          <w:numId w:val="14"/>
        </w:numPr>
        <w:ind w:left="567" w:hanging="567"/>
        <w:jc w:val="both"/>
        <w:rPr>
          <w:szCs w:val="24"/>
        </w:rPr>
      </w:pPr>
      <w:r w:rsidRPr="001859C2">
        <w:rPr>
          <w:szCs w:val="24"/>
        </w:rPr>
        <w:t>The grant allocation for 2021-22 was announced in March 2022</w:t>
      </w:r>
      <w:r w:rsidR="00976821" w:rsidRPr="001859C2">
        <w:rPr>
          <w:szCs w:val="24"/>
        </w:rPr>
        <w:t xml:space="preserve"> after the capital </w:t>
      </w:r>
      <w:r w:rsidR="00452CAC" w:rsidRPr="001859C2">
        <w:rPr>
          <w:szCs w:val="24"/>
        </w:rPr>
        <w:t>programme</w:t>
      </w:r>
      <w:r w:rsidR="00976821" w:rsidRPr="001859C2">
        <w:rPr>
          <w:szCs w:val="24"/>
        </w:rPr>
        <w:t xml:space="preserve"> was approved in February</w:t>
      </w:r>
      <w:r w:rsidRPr="001859C2">
        <w:rPr>
          <w:szCs w:val="24"/>
        </w:rPr>
        <w:t xml:space="preserve">. </w:t>
      </w:r>
      <w:r w:rsidR="00976821" w:rsidRPr="001859C2">
        <w:rPr>
          <w:szCs w:val="24"/>
        </w:rPr>
        <w:t>The total amount is £2,726,655 however it is proposed to add £1,726,655 t</w:t>
      </w:r>
      <w:r w:rsidRPr="001859C2">
        <w:rPr>
          <w:szCs w:val="24"/>
        </w:rPr>
        <w:t xml:space="preserve">o the </w:t>
      </w:r>
      <w:r w:rsidR="00976821" w:rsidRPr="001859C2">
        <w:rPr>
          <w:szCs w:val="24"/>
        </w:rPr>
        <w:t xml:space="preserve">2021-22 </w:t>
      </w:r>
      <w:r w:rsidRPr="001859C2">
        <w:rPr>
          <w:szCs w:val="24"/>
        </w:rPr>
        <w:t xml:space="preserve">capital programme to fund rolling programmes and </w:t>
      </w:r>
      <w:r w:rsidR="00E136DA" w:rsidRPr="001859C2">
        <w:rPr>
          <w:szCs w:val="24"/>
        </w:rPr>
        <w:t>large-scale</w:t>
      </w:r>
      <w:r w:rsidRPr="001859C2">
        <w:rPr>
          <w:szCs w:val="24"/>
        </w:rPr>
        <w:t xml:space="preserve"> reactive works in maintained schools.</w:t>
      </w:r>
      <w:r w:rsidR="00976821" w:rsidRPr="001859C2">
        <w:rPr>
          <w:szCs w:val="24"/>
        </w:rPr>
        <w:t xml:space="preserve"> The remaining £1m is unlikely to be spent in 2021-22 so will be added to the capital programme in 2022-23</w:t>
      </w:r>
    </w:p>
    <w:p w14:paraId="67E9A5A0" w14:textId="310DEECD" w:rsidR="00D03ACC" w:rsidRDefault="00D03ACC" w:rsidP="00D03ACC">
      <w:pPr>
        <w:jc w:val="both"/>
        <w:rPr>
          <w:b/>
          <w:bCs/>
          <w:szCs w:val="24"/>
        </w:rPr>
      </w:pPr>
    </w:p>
    <w:p w14:paraId="0402DF8E" w14:textId="77777777" w:rsidR="00F6199F" w:rsidRPr="003756B1" w:rsidRDefault="00F6199F" w:rsidP="00F6199F">
      <w:pPr>
        <w:pStyle w:val="ListParagraph"/>
        <w:rPr>
          <w:szCs w:val="24"/>
        </w:rPr>
      </w:pPr>
    </w:p>
    <w:p w14:paraId="2F10BF78" w14:textId="03CA7ABF" w:rsidR="003756B1" w:rsidRPr="003756B1" w:rsidRDefault="003756B1" w:rsidP="007A4D31">
      <w:pPr>
        <w:pStyle w:val="ListParagraph"/>
        <w:numPr>
          <w:ilvl w:val="1"/>
          <w:numId w:val="14"/>
        </w:numPr>
        <w:ind w:left="567" w:hanging="567"/>
        <w:jc w:val="both"/>
        <w:rPr>
          <w:b/>
          <w:bCs/>
          <w:szCs w:val="24"/>
        </w:rPr>
      </w:pPr>
      <w:r w:rsidRPr="003756B1">
        <w:rPr>
          <w:b/>
          <w:bCs/>
          <w:szCs w:val="24"/>
        </w:rPr>
        <w:t xml:space="preserve">Changing Places Toilet - £61,000 </w:t>
      </w:r>
    </w:p>
    <w:p w14:paraId="308E3BBB" w14:textId="77777777" w:rsidR="003756B1" w:rsidRPr="003756B1" w:rsidRDefault="003756B1" w:rsidP="003756B1">
      <w:pPr>
        <w:pStyle w:val="ListParagraph"/>
      </w:pPr>
    </w:p>
    <w:p w14:paraId="3F25E4AE" w14:textId="02815607" w:rsidR="003756B1" w:rsidRPr="003756B1" w:rsidRDefault="003756B1" w:rsidP="007A4D31">
      <w:pPr>
        <w:pStyle w:val="ListParagraph"/>
        <w:numPr>
          <w:ilvl w:val="1"/>
          <w:numId w:val="14"/>
        </w:numPr>
        <w:ind w:left="567" w:hanging="567"/>
        <w:jc w:val="both"/>
        <w:rPr>
          <w:b/>
          <w:bCs/>
          <w:szCs w:val="24"/>
        </w:rPr>
      </w:pPr>
      <w:r w:rsidRPr="003756B1">
        <w:t xml:space="preserve">Following the successful funding application to DLUHC for the Changing Places Fund, the Council has been awarded £40k grant towards the cost of the installation of a Changing Places Toilet at Harrow Leisure Centre. A match funding of £21k is provided from S106 funding. </w:t>
      </w:r>
      <w:r w:rsidR="00E136DA" w:rsidRPr="003756B1">
        <w:t>Therefore,</w:t>
      </w:r>
      <w:r w:rsidRPr="003756B1">
        <w:t xml:space="preserve"> it is proposed that an additional budget of £61k is included in the 2022</w:t>
      </w:r>
      <w:r>
        <w:t>-</w:t>
      </w:r>
      <w:r w:rsidRPr="003756B1">
        <w:t xml:space="preserve">23 Capital Programme. </w:t>
      </w:r>
    </w:p>
    <w:p w14:paraId="1F19693C" w14:textId="77777777" w:rsidR="005B6114" w:rsidRPr="00B37833" w:rsidRDefault="005B6114" w:rsidP="005B6114">
      <w:pPr>
        <w:pStyle w:val="ListParagraph"/>
        <w:rPr>
          <w:color w:val="FF0000"/>
          <w:szCs w:val="24"/>
        </w:rPr>
      </w:pPr>
    </w:p>
    <w:p w14:paraId="5E0A37F8" w14:textId="1335A223" w:rsidR="003756B1" w:rsidRPr="003756B1" w:rsidRDefault="003756B1" w:rsidP="007A4D31">
      <w:pPr>
        <w:pStyle w:val="ListParagraph"/>
        <w:numPr>
          <w:ilvl w:val="1"/>
          <w:numId w:val="14"/>
        </w:numPr>
        <w:ind w:left="567" w:hanging="567"/>
        <w:jc w:val="both"/>
        <w:rPr>
          <w:b/>
          <w:bCs/>
          <w:szCs w:val="24"/>
        </w:rPr>
      </w:pPr>
      <w:r w:rsidRPr="003756B1">
        <w:rPr>
          <w:b/>
          <w:bCs/>
          <w:szCs w:val="24"/>
        </w:rPr>
        <w:lastRenderedPageBreak/>
        <w:t>Bannister Sports Centre - £65,003</w:t>
      </w:r>
    </w:p>
    <w:p w14:paraId="799D69CC" w14:textId="77777777" w:rsidR="003756B1" w:rsidRPr="003756B1" w:rsidRDefault="003756B1" w:rsidP="003756B1">
      <w:pPr>
        <w:pStyle w:val="ListParagraph"/>
      </w:pPr>
    </w:p>
    <w:p w14:paraId="3CF54A3C" w14:textId="63F6FFBB" w:rsidR="003756B1" w:rsidRPr="008F1BA1" w:rsidRDefault="003756B1" w:rsidP="007A4D31">
      <w:pPr>
        <w:pStyle w:val="ListParagraph"/>
        <w:numPr>
          <w:ilvl w:val="1"/>
          <w:numId w:val="14"/>
        </w:numPr>
        <w:ind w:left="567" w:hanging="567"/>
        <w:jc w:val="both"/>
        <w:rPr>
          <w:b/>
          <w:bCs/>
          <w:szCs w:val="24"/>
        </w:rPr>
      </w:pPr>
      <w:r w:rsidRPr="003756B1">
        <w:t>As part of the improvement works at Bannister Sports Centre, planning permission has been obtained to install an overflow car park which will provide additional parking for users of various facilities on site. This project is funded from Leisure and Libraries Capital Infrastructure fund and S106 funding. It is proposed that a budget of £65,003, representing the additional S106 funding, is added to 2022</w:t>
      </w:r>
      <w:r>
        <w:t>-</w:t>
      </w:r>
      <w:r w:rsidRPr="003756B1">
        <w:t xml:space="preserve">23 Capital programme. </w:t>
      </w:r>
    </w:p>
    <w:p w14:paraId="230F4EF0" w14:textId="77777777" w:rsidR="008F1BA1" w:rsidRPr="008F1BA1" w:rsidRDefault="008F1BA1" w:rsidP="008F1BA1">
      <w:pPr>
        <w:pStyle w:val="ListParagraph"/>
        <w:rPr>
          <w:b/>
          <w:bCs/>
          <w:szCs w:val="24"/>
        </w:rPr>
      </w:pPr>
    </w:p>
    <w:p w14:paraId="15BD87CC" w14:textId="337E7851" w:rsidR="008F1BA1" w:rsidRDefault="008F1BA1" w:rsidP="008F1BA1">
      <w:pPr>
        <w:pStyle w:val="ListParagraph"/>
        <w:ind w:left="567"/>
        <w:jc w:val="both"/>
        <w:rPr>
          <w:b/>
          <w:bCs/>
          <w:szCs w:val="24"/>
        </w:rPr>
      </w:pPr>
      <w:r>
        <w:rPr>
          <w:b/>
          <w:bCs/>
          <w:szCs w:val="24"/>
        </w:rPr>
        <w:t>Amendments to the Capital Programme</w:t>
      </w:r>
    </w:p>
    <w:p w14:paraId="3D9DFFEA" w14:textId="77777777" w:rsidR="008F1BA1" w:rsidRPr="008F1BA1" w:rsidRDefault="008F1BA1" w:rsidP="008F1BA1">
      <w:pPr>
        <w:pStyle w:val="ListParagraph"/>
        <w:rPr>
          <w:b/>
          <w:bCs/>
          <w:szCs w:val="24"/>
        </w:rPr>
      </w:pPr>
    </w:p>
    <w:p w14:paraId="011FD794" w14:textId="54CBEE54" w:rsidR="008F1BA1" w:rsidRDefault="008F1BA1" w:rsidP="007A4D31">
      <w:pPr>
        <w:pStyle w:val="ListParagraph"/>
        <w:numPr>
          <w:ilvl w:val="1"/>
          <w:numId w:val="14"/>
        </w:numPr>
        <w:ind w:left="567" w:hanging="567"/>
        <w:jc w:val="both"/>
        <w:rPr>
          <w:b/>
          <w:bCs/>
          <w:szCs w:val="24"/>
        </w:rPr>
      </w:pPr>
      <w:r>
        <w:rPr>
          <w:b/>
          <w:bCs/>
          <w:szCs w:val="24"/>
        </w:rPr>
        <w:t>Regeneration Projects Budget Realignment</w:t>
      </w:r>
    </w:p>
    <w:p w14:paraId="6D0F1790" w14:textId="77777777" w:rsidR="008F1BA1" w:rsidRPr="008F1BA1" w:rsidRDefault="008F1BA1" w:rsidP="008F1BA1">
      <w:pPr>
        <w:pStyle w:val="ListParagraph"/>
        <w:rPr>
          <w:b/>
          <w:bCs/>
          <w:szCs w:val="24"/>
        </w:rPr>
      </w:pPr>
    </w:p>
    <w:p w14:paraId="2F7622EE" w14:textId="77777777" w:rsidR="008F1BA1" w:rsidRPr="008F1BA1" w:rsidRDefault="008F1BA1" w:rsidP="007A4D31">
      <w:pPr>
        <w:pStyle w:val="ListParagraph"/>
        <w:numPr>
          <w:ilvl w:val="1"/>
          <w:numId w:val="14"/>
        </w:numPr>
        <w:ind w:left="567" w:hanging="567"/>
        <w:jc w:val="both"/>
        <w:rPr>
          <w:b/>
          <w:bCs/>
          <w:szCs w:val="24"/>
        </w:rPr>
      </w:pPr>
      <w:r>
        <w:rPr>
          <w:szCs w:val="24"/>
        </w:rPr>
        <w:t xml:space="preserve">There were a number of separate capital budgets in the Regeneration Programme in 2021-22, some of which were set up historically prior to the formation of the Harrow Strategic Development Partnership (HSDP). The total </w:t>
      </w:r>
      <w:proofErr w:type="gramStart"/>
      <w:r>
        <w:rPr>
          <w:szCs w:val="24"/>
        </w:rPr>
        <w:t>carry</w:t>
      </w:r>
      <w:proofErr w:type="gramEnd"/>
      <w:r>
        <w:rPr>
          <w:szCs w:val="24"/>
        </w:rPr>
        <w:t xml:space="preserve"> forward budget is £7.657m. </w:t>
      </w:r>
    </w:p>
    <w:p w14:paraId="6226C665" w14:textId="77777777" w:rsidR="008F1BA1" w:rsidRPr="008F1BA1" w:rsidRDefault="008F1BA1" w:rsidP="008F1BA1">
      <w:pPr>
        <w:pStyle w:val="ListParagraph"/>
        <w:rPr>
          <w:szCs w:val="24"/>
        </w:rPr>
      </w:pPr>
    </w:p>
    <w:p w14:paraId="58E5532A" w14:textId="50DEEE41" w:rsidR="008F1BA1" w:rsidRPr="008F1BA1" w:rsidRDefault="008F1BA1" w:rsidP="008F1BA1">
      <w:pPr>
        <w:pStyle w:val="ListParagraph"/>
        <w:numPr>
          <w:ilvl w:val="1"/>
          <w:numId w:val="14"/>
        </w:numPr>
        <w:ind w:left="567" w:hanging="567"/>
        <w:jc w:val="both"/>
        <w:rPr>
          <w:b/>
          <w:bCs/>
          <w:szCs w:val="24"/>
        </w:rPr>
      </w:pPr>
      <w:bookmarkStart w:id="16" w:name="_Hlk106974125"/>
      <w:r>
        <w:rPr>
          <w:szCs w:val="24"/>
        </w:rPr>
        <w:t xml:space="preserve">Following a review of the </w:t>
      </w:r>
      <w:proofErr w:type="spellStart"/>
      <w:r>
        <w:rPr>
          <w:szCs w:val="24"/>
        </w:rPr>
        <w:t>Waxwell</w:t>
      </w:r>
      <w:proofErr w:type="spellEnd"/>
      <w:r>
        <w:rPr>
          <w:szCs w:val="24"/>
        </w:rPr>
        <w:t xml:space="preserve"> Lane scheme, the budget requirement needs to be increased by £176k due to programme extension as a result of contractor delays due to shortages of materials and supplier issues, resulting in additional associated professional fees until practical completion is achieved.</w:t>
      </w:r>
      <w:r w:rsidR="008B6412">
        <w:rPr>
          <w:szCs w:val="24"/>
        </w:rPr>
        <w:t xml:space="preserve"> T</w:t>
      </w:r>
      <w:r w:rsidRPr="008F1BA1">
        <w:rPr>
          <w:szCs w:val="24"/>
        </w:rPr>
        <w:t>his is met from within the carry forward budget as shown in Table 1</w:t>
      </w:r>
      <w:r w:rsidR="00E7713B">
        <w:rPr>
          <w:szCs w:val="24"/>
        </w:rPr>
        <w:t>5</w:t>
      </w:r>
      <w:r w:rsidRPr="008F1BA1">
        <w:rPr>
          <w:szCs w:val="24"/>
        </w:rPr>
        <w:t xml:space="preserve"> below. </w:t>
      </w:r>
    </w:p>
    <w:bookmarkEnd w:id="16"/>
    <w:p w14:paraId="70B463B2" w14:textId="77777777" w:rsidR="008F1BA1" w:rsidRPr="008F1BA1" w:rsidRDefault="008F1BA1" w:rsidP="008F1BA1">
      <w:pPr>
        <w:pStyle w:val="ListParagraph"/>
        <w:rPr>
          <w:szCs w:val="24"/>
        </w:rPr>
      </w:pPr>
    </w:p>
    <w:p w14:paraId="1490BEF4" w14:textId="16AD9BA3" w:rsidR="008F1BA1" w:rsidRPr="008F1BA1" w:rsidRDefault="008F1BA1" w:rsidP="008F1BA1">
      <w:pPr>
        <w:pStyle w:val="ListParagraph"/>
        <w:numPr>
          <w:ilvl w:val="1"/>
          <w:numId w:val="14"/>
        </w:numPr>
        <w:ind w:left="567" w:hanging="567"/>
        <w:jc w:val="both"/>
        <w:rPr>
          <w:b/>
          <w:bCs/>
          <w:szCs w:val="24"/>
        </w:rPr>
      </w:pPr>
      <w:r w:rsidRPr="008F1BA1">
        <w:rPr>
          <w:szCs w:val="24"/>
        </w:rPr>
        <w:t>In March 2022, a report was presented to Cabinet to provide an update on the progress of the work of the HSDP and set out the next steps of the review. It is therefore proposed that the remaining budget for Other Regeneration (£1.565m), Accommodation strategy (£0.794m), Plot S (£0.5m) and Demolition of Social Club (£0.3m) are consolidated into one single budget and added to the ‘Investme</w:t>
      </w:r>
      <w:r>
        <w:rPr>
          <w:szCs w:val="24"/>
        </w:rPr>
        <w:t>nt</w:t>
      </w:r>
      <w:r w:rsidRPr="008F1BA1">
        <w:rPr>
          <w:szCs w:val="24"/>
        </w:rPr>
        <w:t xml:space="preserve"> in 3 Core Sites’ project. </w:t>
      </w:r>
    </w:p>
    <w:p w14:paraId="2B210F2B" w14:textId="77777777" w:rsidR="008F1BA1" w:rsidRPr="008F1BA1" w:rsidRDefault="008F1BA1" w:rsidP="008F1BA1">
      <w:pPr>
        <w:pStyle w:val="ListParagraph"/>
        <w:rPr>
          <w:b/>
          <w:bCs/>
          <w:szCs w:val="24"/>
        </w:rPr>
      </w:pPr>
    </w:p>
    <w:p w14:paraId="71D59E26" w14:textId="7D6057FB" w:rsidR="008F1BA1" w:rsidRPr="00D071BB" w:rsidRDefault="008F1BA1" w:rsidP="007A4D31">
      <w:pPr>
        <w:pStyle w:val="ListParagraph"/>
        <w:numPr>
          <w:ilvl w:val="1"/>
          <w:numId w:val="14"/>
        </w:numPr>
        <w:ind w:left="567" w:hanging="567"/>
        <w:jc w:val="both"/>
        <w:rPr>
          <w:b/>
          <w:bCs/>
          <w:szCs w:val="24"/>
        </w:rPr>
      </w:pPr>
      <w:r>
        <w:rPr>
          <w:szCs w:val="24"/>
        </w:rPr>
        <w:t xml:space="preserve">This will give a total carry forward budget of £3.588m against this scheme as a starting point for 2022-23. The Council’s Capital Programme 2022-23 to 2024-25 includes a sum of £8.525m against the ‘Investment in 3 Core Sites’ project. </w:t>
      </w:r>
      <w:proofErr w:type="gramStart"/>
      <w:r>
        <w:rPr>
          <w:szCs w:val="24"/>
        </w:rPr>
        <w:t>Therefore</w:t>
      </w:r>
      <w:proofErr w:type="gramEnd"/>
      <w:r>
        <w:rPr>
          <w:szCs w:val="24"/>
        </w:rPr>
        <w:t xml:space="preserve"> the total Regeneration budget including carry forward will be £16.182m of </w:t>
      </w:r>
      <w:r w:rsidRPr="00D071BB">
        <w:rPr>
          <w:szCs w:val="24"/>
        </w:rPr>
        <w:t>which £12.113m will relate to ‘Investment in 3 Core Sites’.</w:t>
      </w:r>
    </w:p>
    <w:p w14:paraId="18659BDC" w14:textId="0D18F4B5" w:rsidR="005B6114" w:rsidRPr="00D071BB" w:rsidRDefault="005B6114" w:rsidP="008A39F5">
      <w:pPr>
        <w:pStyle w:val="ListParagraph"/>
        <w:rPr>
          <w:szCs w:val="24"/>
        </w:rPr>
      </w:pPr>
    </w:p>
    <w:p w14:paraId="69B8FD95" w14:textId="77777777" w:rsidR="00255B51" w:rsidRDefault="00255B51" w:rsidP="00D071BB">
      <w:pPr>
        <w:rPr>
          <w:b/>
          <w:bCs/>
          <w:szCs w:val="24"/>
          <w:u w:val="single"/>
        </w:rPr>
      </w:pPr>
    </w:p>
    <w:p w14:paraId="0B2731CF" w14:textId="77777777" w:rsidR="00255B51" w:rsidRDefault="00255B51" w:rsidP="00D071BB">
      <w:pPr>
        <w:rPr>
          <w:b/>
          <w:bCs/>
          <w:szCs w:val="24"/>
          <w:u w:val="single"/>
        </w:rPr>
      </w:pPr>
    </w:p>
    <w:p w14:paraId="36201CF8" w14:textId="77777777" w:rsidR="00255B51" w:rsidRDefault="00255B51" w:rsidP="00D071BB">
      <w:pPr>
        <w:rPr>
          <w:b/>
          <w:bCs/>
          <w:szCs w:val="24"/>
          <w:u w:val="single"/>
        </w:rPr>
      </w:pPr>
    </w:p>
    <w:p w14:paraId="01A12AA3" w14:textId="77777777" w:rsidR="00255B51" w:rsidRDefault="00255B51" w:rsidP="00D071BB">
      <w:pPr>
        <w:rPr>
          <w:b/>
          <w:bCs/>
          <w:szCs w:val="24"/>
          <w:u w:val="single"/>
        </w:rPr>
      </w:pPr>
    </w:p>
    <w:p w14:paraId="13BC344E" w14:textId="77777777" w:rsidR="00255B51" w:rsidRDefault="00255B51" w:rsidP="00D071BB">
      <w:pPr>
        <w:rPr>
          <w:b/>
          <w:bCs/>
          <w:szCs w:val="24"/>
          <w:u w:val="single"/>
        </w:rPr>
      </w:pPr>
    </w:p>
    <w:p w14:paraId="5029098E" w14:textId="77777777" w:rsidR="00255B51" w:rsidRDefault="00255B51" w:rsidP="00D071BB">
      <w:pPr>
        <w:rPr>
          <w:b/>
          <w:bCs/>
          <w:szCs w:val="24"/>
          <w:u w:val="single"/>
        </w:rPr>
      </w:pPr>
    </w:p>
    <w:p w14:paraId="7BF841BD" w14:textId="77777777" w:rsidR="00255B51" w:rsidRDefault="00255B51" w:rsidP="00D071BB">
      <w:pPr>
        <w:rPr>
          <w:b/>
          <w:bCs/>
          <w:szCs w:val="24"/>
          <w:u w:val="single"/>
        </w:rPr>
      </w:pPr>
    </w:p>
    <w:p w14:paraId="36EEB259" w14:textId="77777777" w:rsidR="00255B51" w:rsidRDefault="00255B51" w:rsidP="00D071BB">
      <w:pPr>
        <w:rPr>
          <w:b/>
          <w:bCs/>
          <w:szCs w:val="24"/>
          <w:u w:val="single"/>
        </w:rPr>
      </w:pPr>
    </w:p>
    <w:p w14:paraId="3B8546C1" w14:textId="77777777" w:rsidR="00255B51" w:rsidRDefault="00255B51" w:rsidP="00D071BB">
      <w:pPr>
        <w:rPr>
          <w:b/>
          <w:bCs/>
          <w:szCs w:val="24"/>
          <w:u w:val="single"/>
        </w:rPr>
      </w:pPr>
    </w:p>
    <w:p w14:paraId="1170768F" w14:textId="250B0392" w:rsidR="005B6114" w:rsidRPr="00D071BB" w:rsidRDefault="008F1BA1" w:rsidP="00D071BB">
      <w:pPr>
        <w:rPr>
          <w:b/>
          <w:bCs/>
          <w:szCs w:val="24"/>
          <w:u w:val="single"/>
        </w:rPr>
      </w:pPr>
      <w:r w:rsidRPr="00D071BB">
        <w:rPr>
          <w:b/>
          <w:bCs/>
          <w:szCs w:val="24"/>
          <w:u w:val="single"/>
        </w:rPr>
        <w:t>Table 1</w:t>
      </w:r>
      <w:r w:rsidR="00E7713B">
        <w:rPr>
          <w:b/>
          <w:bCs/>
          <w:szCs w:val="24"/>
          <w:u w:val="single"/>
        </w:rPr>
        <w:t>5</w:t>
      </w:r>
      <w:r w:rsidRPr="00D071BB">
        <w:rPr>
          <w:b/>
          <w:bCs/>
          <w:szCs w:val="24"/>
          <w:u w:val="single"/>
        </w:rPr>
        <w:t>: Regeneration Capital Programme Realignment</w:t>
      </w:r>
    </w:p>
    <w:p w14:paraId="19994C9B" w14:textId="755317BE" w:rsidR="008A39F5" w:rsidRDefault="008A39F5" w:rsidP="008A39F5">
      <w:pPr>
        <w:rPr>
          <w:rFonts w:ascii="Century Gothic" w:eastAsiaTheme="minorHAnsi" w:hAnsi="Century Gothic" w:cs="Calibri"/>
          <w:color w:val="FF0000"/>
          <w:sz w:val="22"/>
          <w:szCs w:val="22"/>
          <w:lang w:val="en-US"/>
        </w:rPr>
      </w:pPr>
    </w:p>
    <w:p w14:paraId="7E7CC10F" w14:textId="77777777" w:rsidR="008F1BA1" w:rsidRPr="00B37833" w:rsidRDefault="008F1BA1" w:rsidP="008A39F5">
      <w:pPr>
        <w:rPr>
          <w:rFonts w:ascii="Century Gothic" w:eastAsiaTheme="minorHAnsi" w:hAnsi="Century Gothic" w:cs="Calibri"/>
          <w:color w:val="FF0000"/>
          <w:sz w:val="22"/>
          <w:szCs w:val="22"/>
          <w:lang w:val="en-US"/>
        </w:rPr>
      </w:pPr>
      <w:r>
        <w:rPr>
          <w:rFonts w:ascii="Century Gothic" w:eastAsiaTheme="minorHAnsi" w:hAnsi="Century Gothic" w:cs="Calibri"/>
          <w:color w:val="FF0000"/>
          <w:sz w:val="22"/>
          <w:szCs w:val="22"/>
          <w:lang w:val="en-US"/>
        </w:rPr>
        <w:tab/>
      </w:r>
    </w:p>
    <w:tbl>
      <w:tblPr>
        <w:tblStyle w:val="TableGrid"/>
        <w:tblW w:w="9873" w:type="dxa"/>
        <w:tblInd w:w="-5" w:type="dxa"/>
        <w:tblLook w:val="04A0" w:firstRow="1" w:lastRow="0" w:firstColumn="1" w:lastColumn="0" w:noHBand="0" w:noVBand="1"/>
      </w:tblPr>
      <w:tblGrid>
        <w:gridCol w:w="3823"/>
        <w:gridCol w:w="1559"/>
        <w:gridCol w:w="1559"/>
        <w:gridCol w:w="1559"/>
        <w:gridCol w:w="1373"/>
      </w:tblGrid>
      <w:tr w:rsidR="00D071BB" w:rsidRPr="00D071BB" w14:paraId="1FCD2E65" w14:textId="77777777" w:rsidTr="00D071BB">
        <w:trPr>
          <w:trHeight w:val="298"/>
        </w:trPr>
        <w:tc>
          <w:tcPr>
            <w:tcW w:w="3823" w:type="dxa"/>
            <w:tcBorders>
              <w:top w:val="single" w:sz="8" w:space="0" w:color="auto"/>
              <w:left w:val="single" w:sz="8" w:space="0" w:color="auto"/>
              <w:bottom w:val="single" w:sz="8" w:space="0" w:color="auto"/>
              <w:right w:val="single" w:sz="8" w:space="0" w:color="auto"/>
            </w:tcBorders>
            <w:vAlign w:val="center"/>
          </w:tcPr>
          <w:p w14:paraId="0F5301CD" w14:textId="6858535E" w:rsidR="00D071BB" w:rsidRPr="00D071BB" w:rsidRDefault="00D071BB" w:rsidP="00D071BB">
            <w:pPr>
              <w:rPr>
                <w:rFonts w:ascii="Century Gothic" w:eastAsiaTheme="minorHAnsi" w:hAnsi="Century Gothic" w:cs="Calibri"/>
                <w:color w:val="FF0000"/>
                <w:sz w:val="20"/>
                <w:lang w:val="en-US"/>
              </w:rPr>
            </w:pPr>
            <w:r w:rsidRPr="00D071BB">
              <w:rPr>
                <w:b/>
                <w:bCs/>
                <w:color w:val="000000"/>
                <w:sz w:val="20"/>
                <w:lang w:eastAsia="en-GB"/>
              </w:rPr>
              <w:t>Regeneration Projects</w:t>
            </w:r>
          </w:p>
        </w:tc>
        <w:tc>
          <w:tcPr>
            <w:tcW w:w="1559" w:type="dxa"/>
            <w:tcBorders>
              <w:top w:val="single" w:sz="8" w:space="0" w:color="auto"/>
              <w:left w:val="nil"/>
              <w:bottom w:val="single" w:sz="8" w:space="0" w:color="auto"/>
              <w:right w:val="single" w:sz="8" w:space="0" w:color="auto"/>
            </w:tcBorders>
            <w:vAlign w:val="center"/>
          </w:tcPr>
          <w:p w14:paraId="7E78DA07" w14:textId="32E11059" w:rsidR="00D071BB" w:rsidRPr="00D071BB" w:rsidRDefault="00D071BB" w:rsidP="00D071BB">
            <w:pPr>
              <w:jc w:val="center"/>
              <w:rPr>
                <w:rFonts w:ascii="Century Gothic" w:eastAsiaTheme="minorHAnsi" w:hAnsi="Century Gothic" w:cs="Calibri"/>
                <w:color w:val="FF0000"/>
                <w:sz w:val="20"/>
                <w:lang w:val="en-US"/>
              </w:rPr>
            </w:pPr>
            <w:r w:rsidRPr="00D071BB">
              <w:rPr>
                <w:b/>
                <w:bCs/>
                <w:color w:val="000000"/>
                <w:sz w:val="20"/>
                <w:lang w:eastAsia="en-GB"/>
              </w:rPr>
              <w:t>2021</w:t>
            </w:r>
            <w:r>
              <w:rPr>
                <w:b/>
                <w:bCs/>
                <w:color w:val="000000"/>
                <w:sz w:val="20"/>
                <w:lang w:eastAsia="en-GB"/>
              </w:rPr>
              <w:t>-</w:t>
            </w:r>
            <w:r w:rsidRPr="00D071BB">
              <w:rPr>
                <w:b/>
                <w:bCs/>
                <w:color w:val="000000"/>
                <w:sz w:val="20"/>
                <w:lang w:eastAsia="en-GB"/>
              </w:rPr>
              <w:t>22 Budget c/</w:t>
            </w:r>
            <w:proofErr w:type="spellStart"/>
            <w:r w:rsidRPr="00D071BB">
              <w:rPr>
                <w:b/>
                <w:bCs/>
                <w:color w:val="000000"/>
                <w:sz w:val="20"/>
                <w:lang w:eastAsia="en-GB"/>
              </w:rPr>
              <w:t>fwd</w:t>
            </w:r>
            <w:proofErr w:type="spellEnd"/>
          </w:p>
        </w:tc>
        <w:tc>
          <w:tcPr>
            <w:tcW w:w="1559" w:type="dxa"/>
            <w:tcBorders>
              <w:top w:val="single" w:sz="8" w:space="0" w:color="auto"/>
              <w:left w:val="nil"/>
              <w:bottom w:val="single" w:sz="8" w:space="0" w:color="auto"/>
              <w:right w:val="single" w:sz="8" w:space="0" w:color="auto"/>
            </w:tcBorders>
            <w:vAlign w:val="center"/>
          </w:tcPr>
          <w:p w14:paraId="7D514676" w14:textId="06C48F2B" w:rsidR="00D071BB" w:rsidRPr="00D071BB" w:rsidRDefault="00D071BB" w:rsidP="00D071BB">
            <w:pPr>
              <w:jc w:val="center"/>
              <w:rPr>
                <w:rFonts w:ascii="Century Gothic" w:eastAsiaTheme="minorHAnsi" w:hAnsi="Century Gothic" w:cs="Calibri"/>
                <w:color w:val="FF0000"/>
                <w:sz w:val="20"/>
                <w:lang w:val="en-US"/>
              </w:rPr>
            </w:pPr>
            <w:r w:rsidRPr="00D071BB">
              <w:rPr>
                <w:b/>
                <w:bCs/>
                <w:color w:val="000000"/>
                <w:sz w:val="20"/>
                <w:lang w:eastAsia="en-GB"/>
              </w:rPr>
              <w:t xml:space="preserve">Budget virement to </w:t>
            </w:r>
            <w:proofErr w:type="spellStart"/>
            <w:r w:rsidRPr="00D071BB">
              <w:rPr>
                <w:b/>
                <w:bCs/>
                <w:color w:val="000000"/>
                <w:sz w:val="20"/>
                <w:lang w:eastAsia="en-GB"/>
              </w:rPr>
              <w:t>Waxwell</w:t>
            </w:r>
            <w:proofErr w:type="spellEnd"/>
            <w:r w:rsidRPr="00D071BB">
              <w:rPr>
                <w:b/>
                <w:bCs/>
                <w:color w:val="000000"/>
                <w:sz w:val="20"/>
                <w:lang w:eastAsia="en-GB"/>
              </w:rPr>
              <w:t xml:space="preserve"> Lane</w:t>
            </w:r>
          </w:p>
        </w:tc>
        <w:tc>
          <w:tcPr>
            <w:tcW w:w="1559" w:type="dxa"/>
            <w:tcBorders>
              <w:top w:val="single" w:sz="8" w:space="0" w:color="auto"/>
              <w:left w:val="nil"/>
              <w:bottom w:val="single" w:sz="8" w:space="0" w:color="auto"/>
              <w:right w:val="single" w:sz="8" w:space="0" w:color="auto"/>
            </w:tcBorders>
            <w:vAlign w:val="center"/>
          </w:tcPr>
          <w:p w14:paraId="77B8929D" w14:textId="3DB50EA8" w:rsidR="00D071BB" w:rsidRPr="00D071BB" w:rsidRDefault="00D071BB" w:rsidP="00D071BB">
            <w:pPr>
              <w:jc w:val="center"/>
              <w:rPr>
                <w:rFonts w:ascii="Century Gothic" w:eastAsiaTheme="minorHAnsi" w:hAnsi="Century Gothic" w:cs="Calibri"/>
                <w:color w:val="FF0000"/>
                <w:sz w:val="20"/>
                <w:lang w:val="en-US"/>
              </w:rPr>
            </w:pPr>
            <w:r w:rsidRPr="00D071BB">
              <w:rPr>
                <w:b/>
                <w:bCs/>
                <w:color w:val="000000"/>
                <w:sz w:val="20"/>
                <w:lang w:eastAsia="en-GB"/>
              </w:rPr>
              <w:t>Budget consolidation</w:t>
            </w:r>
          </w:p>
        </w:tc>
        <w:tc>
          <w:tcPr>
            <w:tcW w:w="1373" w:type="dxa"/>
            <w:tcBorders>
              <w:top w:val="single" w:sz="8" w:space="0" w:color="auto"/>
              <w:left w:val="nil"/>
              <w:bottom w:val="single" w:sz="8" w:space="0" w:color="auto"/>
              <w:right w:val="single" w:sz="8" w:space="0" w:color="auto"/>
            </w:tcBorders>
            <w:vAlign w:val="center"/>
          </w:tcPr>
          <w:p w14:paraId="320909E4" w14:textId="6600190C" w:rsidR="00D071BB" w:rsidRPr="00D071BB" w:rsidRDefault="00D071BB" w:rsidP="00D071BB">
            <w:pPr>
              <w:jc w:val="center"/>
              <w:rPr>
                <w:rFonts w:ascii="Century Gothic" w:eastAsiaTheme="minorHAnsi" w:hAnsi="Century Gothic" w:cs="Calibri"/>
                <w:color w:val="FF0000"/>
                <w:sz w:val="20"/>
                <w:lang w:val="en-US"/>
              </w:rPr>
            </w:pPr>
            <w:r w:rsidRPr="00D071BB">
              <w:rPr>
                <w:b/>
                <w:bCs/>
                <w:color w:val="000000"/>
                <w:sz w:val="20"/>
                <w:lang w:eastAsia="en-GB"/>
              </w:rPr>
              <w:t>Revised Budget c/</w:t>
            </w:r>
            <w:proofErr w:type="spellStart"/>
            <w:r w:rsidRPr="00D071BB">
              <w:rPr>
                <w:b/>
                <w:bCs/>
                <w:color w:val="000000"/>
                <w:sz w:val="20"/>
                <w:lang w:eastAsia="en-GB"/>
              </w:rPr>
              <w:t>fwd</w:t>
            </w:r>
            <w:proofErr w:type="spellEnd"/>
          </w:p>
        </w:tc>
      </w:tr>
      <w:tr w:rsidR="00D071BB" w:rsidRPr="00D071BB" w14:paraId="1C559A5F"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1D79A5DF" w14:textId="2CCDCF48"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Haslem House redevelopment</w:t>
            </w:r>
          </w:p>
        </w:tc>
        <w:tc>
          <w:tcPr>
            <w:tcW w:w="1559" w:type="dxa"/>
            <w:tcBorders>
              <w:top w:val="nil"/>
              <w:left w:val="nil"/>
              <w:bottom w:val="single" w:sz="8" w:space="0" w:color="auto"/>
              <w:right w:val="single" w:sz="8" w:space="0" w:color="auto"/>
            </w:tcBorders>
            <w:vAlign w:val="center"/>
          </w:tcPr>
          <w:p w14:paraId="5EDD12EF" w14:textId="6E95C28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26,175</w:t>
            </w:r>
          </w:p>
        </w:tc>
        <w:tc>
          <w:tcPr>
            <w:tcW w:w="1559" w:type="dxa"/>
            <w:tcBorders>
              <w:top w:val="nil"/>
              <w:left w:val="nil"/>
              <w:bottom w:val="single" w:sz="8" w:space="0" w:color="auto"/>
              <w:right w:val="single" w:sz="8" w:space="0" w:color="auto"/>
            </w:tcBorders>
            <w:vAlign w:val="center"/>
          </w:tcPr>
          <w:p w14:paraId="622C3A22" w14:textId="0255099E"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16169787" w14:textId="135EB20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55BF05FD" w14:textId="32DFFF19"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26,175</w:t>
            </w:r>
          </w:p>
        </w:tc>
      </w:tr>
      <w:tr w:rsidR="00D071BB" w:rsidRPr="00D071BB" w14:paraId="024944BE"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1B0FF1BA" w14:textId="564A430A"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Regeneration Capital - Project Management</w:t>
            </w:r>
          </w:p>
        </w:tc>
        <w:tc>
          <w:tcPr>
            <w:tcW w:w="1559" w:type="dxa"/>
            <w:tcBorders>
              <w:top w:val="nil"/>
              <w:left w:val="nil"/>
              <w:bottom w:val="single" w:sz="8" w:space="0" w:color="auto"/>
              <w:right w:val="single" w:sz="8" w:space="0" w:color="auto"/>
            </w:tcBorders>
            <w:vAlign w:val="center"/>
          </w:tcPr>
          <w:p w14:paraId="4DB91D6C" w14:textId="79FAB21E"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147,003</w:t>
            </w:r>
          </w:p>
        </w:tc>
        <w:tc>
          <w:tcPr>
            <w:tcW w:w="1559" w:type="dxa"/>
            <w:tcBorders>
              <w:top w:val="nil"/>
              <w:left w:val="nil"/>
              <w:bottom w:val="single" w:sz="8" w:space="0" w:color="auto"/>
              <w:right w:val="single" w:sz="8" w:space="0" w:color="auto"/>
            </w:tcBorders>
            <w:vAlign w:val="center"/>
          </w:tcPr>
          <w:p w14:paraId="51AAA28F" w14:textId="219020C9"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-147,003</w:t>
            </w:r>
          </w:p>
        </w:tc>
        <w:tc>
          <w:tcPr>
            <w:tcW w:w="1559" w:type="dxa"/>
            <w:tcBorders>
              <w:top w:val="nil"/>
              <w:left w:val="nil"/>
              <w:bottom w:val="single" w:sz="8" w:space="0" w:color="auto"/>
              <w:right w:val="single" w:sz="8" w:space="0" w:color="auto"/>
            </w:tcBorders>
            <w:vAlign w:val="center"/>
          </w:tcPr>
          <w:p w14:paraId="0BC49566" w14:textId="31468A79"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1A2B1820" w14:textId="7A3B1A6C"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0</w:t>
            </w:r>
          </w:p>
        </w:tc>
      </w:tr>
      <w:tr w:rsidR="00D071BB" w:rsidRPr="00D071BB" w14:paraId="046B9D7C"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4FDEDA94" w14:textId="4871929A"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Other Regeneration</w:t>
            </w:r>
          </w:p>
        </w:tc>
        <w:tc>
          <w:tcPr>
            <w:tcW w:w="1559" w:type="dxa"/>
            <w:tcBorders>
              <w:top w:val="nil"/>
              <w:left w:val="nil"/>
              <w:bottom w:val="single" w:sz="8" w:space="0" w:color="auto"/>
              <w:right w:val="single" w:sz="8" w:space="0" w:color="auto"/>
            </w:tcBorders>
            <w:vAlign w:val="center"/>
          </w:tcPr>
          <w:p w14:paraId="33744A64" w14:textId="4811F10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1,594,050</w:t>
            </w:r>
          </w:p>
        </w:tc>
        <w:tc>
          <w:tcPr>
            <w:tcW w:w="1559" w:type="dxa"/>
            <w:tcBorders>
              <w:top w:val="nil"/>
              <w:left w:val="nil"/>
              <w:bottom w:val="single" w:sz="8" w:space="0" w:color="auto"/>
              <w:right w:val="single" w:sz="8" w:space="0" w:color="auto"/>
            </w:tcBorders>
            <w:vAlign w:val="center"/>
          </w:tcPr>
          <w:p w14:paraId="0F56BB05" w14:textId="7358F75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-28,734</w:t>
            </w:r>
          </w:p>
        </w:tc>
        <w:tc>
          <w:tcPr>
            <w:tcW w:w="1559" w:type="dxa"/>
            <w:tcBorders>
              <w:top w:val="nil"/>
              <w:left w:val="nil"/>
              <w:bottom w:val="single" w:sz="8" w:space="0" w:color="auto"/>
              <w:right w:val="single" w:sz="8" w:space="0" w:color="auto"/>
            </w:tcBorders>
            <w:vAlign w:val="center"/>
          </w:tcPr>
          <w:p w14:paraId="28B41D8F" w14:textId="37154488"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-1,565,316</w:t>
            </w:r>
          </w:p>
        </w:tc>
        <w:tc>
          <w:tcPr>
            <w:tcW w:w="1373" w:type="dxa"/>
            <w:tcBorders>
              <w:top w:val="nil"/>
              <w:left w:val="nil"/>
              <w:bottom w:val="single" w:sz="8" w:space="0" w:color="auto"/>
              <w:right w:val="single" w:sz="8" w:space="0" w:color="auto"/>
            </w:tcBorders>
            <w:vAlign w:val="center"/>
          </w:tcPr>
          <w:p w14:paraId="0D515662" w14:textId="45F2E85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0</w:t>
            </w:r>
          </w:p>
        </w:tc>
      </w:tr>
      <w:tr w:rsidR="00D071BB" w:rsidRPr="00D071BB" w14:paraId="7BB63902"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2F855425" w14:textId="12C8A176" w:rsidR="00D071BB" w:rsidRPr="00D071BB" w:rsidRDefault="00D071BB" w:rsidP="00D071BB">
            <w:pPr>
              <w:rPr>
                <w:rFonts w:ascii="Century Gothic" w:eastAsiaTheme="minorHAnsi" w:hAnsi="Century Gothic" w:cs="Calibri"/>
                <w:color w:val="FF0000"/>
                <w:sz w:val="20"/>
                <w:lang w:val="en-US"/>
              </w:rPr>
            </w:pPr>
            <w:proofErr w:type="spellStart"/>
            <w:r w:rsidRPr="00D071BB">
              <w:rPr>
                <w:color w:val="000000"/>
                <w:sz w:val="20"/>
                <w:lang w:eastAsia="en-GB"/>
              </w:rPr>
              <w:t>Waxwell</w:t>
            </w:r>
            <w:proofErr w:type="spellEnd"/>
            <w:r w:rsidRPr="00D071BB">
              <w:rPr>
                <w:color w:val="000000"/>
                <w:sz w:val="20"/>
                <w:lang w:eastAsia="en-GB"/>
              </w:rPr>
              <w:t xml:space="preserve"> Lane</w:t>
            </w:r>
          </w:p>
        </w:tc>
        <w:tc>
          <w:tcPr>
            <w:tcW w:w="1559" w:type="dxa"/>
            <w:tcBorders>
              <w:top w:val="nil"/>
              <w:left w:val="nil"/>
              <w:bottom w:val="single" w:sz="8" w:space="0" w:color="auto"/>
              <w:right w:val="single" w:sz="8" w:space="0" w:color="auto"/>
            </w:tcBorders>
            <w:vAlign w:val="center"/>
          </w:tcPr>
          <w:p w14:paraId="28F9EED4" w14:textId="35E6DA66"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324,263</w:t>
            </w:r>
          </w:p>
        </w:tc>
        <w:tc>
          <w:tcPr>
            <w:tcW w:w="1559" w:type="dxa"/>
            <w:tcBorders>
              <w:top w:val="nil"/>
              <w:left w:val="nil"/>
              <w:bottom w:val="single" w:sz="8" w:space="0" w:color="auto"/>
              <w:right w:val="single" w:sz="8" w:space="0" w:color="auto"/>
            </w:tcBorders>
            <w:vAlign w:val="center"/>
          </w:tcPr>
          <w:p w14:paraId="174BF743" w14:textId="74554D2C"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175,737</w:t>
            </w:r>
          </w:p>
        </w:tc>
        <w:tc>
          <w:tcPr>
            <w:tcW w:w="1559" w:type="dxa"/>
            <w:tcBorders>
              <w:top w:val="nil"/>
              <w:left w:val="nil"/>
              <w:bottom w:val="single" w:sz="8" w:space="0" w:color="auto"/>
              <w:right w:val="single" w:sz="8" w:space="0" w:color="auto"/>
            </w:tcBorders>
            <w:vAlign w:val="center"/>
          </w:tcPr>
          <w:p w14:paraId="1CE5FF1D" w14:textId="077E9430"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58597A50" w14:textId="1E07AB03"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500,000</w:t>
            </w:r>
          </w:p>
        </w:tc>
      </w:tr>
      <w:tr w:rsidR="00D071BB" w:rsidRPr="00D071BB" w14:paraId="7039F7F2"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18B5FBCA" w14:textId="2738670F"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w:t>
            </w:r>
          </w:p>
        </w:tc>
        <w:tc>
          <w:tcPr>
            <w:tcW w:w="1559" w:type="dxa"/>
            <w:tcBorders>
              <w:top w:val="nil"/>
              <w:left w:val="nil"/>
              <w:bottom w:val="single" w:sz="8" w:space="0" w:color="auto"/>
              <w:right w:val="single" w:sz="8" w:space="0" w:color="auto"/>
            </w:tcBorders>
            <w:vAlign w:val="center"/>
          </w:tcPr>
          <w:p w14:paraId="188923D1" w14:textId="39D6838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794,138</w:t>
            </w:r>
          </w:p>
        </w:tc>
        <w:tc>
          <w:tcPr>
            <w:tcW w:w="1559" w:type="dxa"/>
            <w:tcBorders>
              <w:top w:val="nil"/>
              <w:left w:val="nil"/>
              <w:bottom w:val="single" w:sz="8" w:space="0" w:color="auto"/>
              <w:right w:val="single" w:sz="8" w:space="0" w:color="auto"/>
            </w:tcBorders>
            <w:vAlign w:val="center"/>
          </w:tcPr>
          <w:p w14:paraId="602FBB93" w14:textId="75811DD8"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36B0D9D5" w14:textId="7562EA11"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-794,138</w:t>
            </w:r>
          </w:p>
        </w:tc>
        <w:tc>
          <w:tcPr>
            <w:tcW w:w="1373" w:type="dxa"/>
            <w:tcBorders>
              <w:top w:val="nil"/>
              <w:left w:val="nil"/>
              <w:bottom w:val="single" w:sz="8" w:space="0" w:color="auto"/>
              <w:right w:val="single" w:sz="8" w:space="0" w:color="auto"/>
            </w:tcBorders>
            <w:vAlign w:val="center"/>
          </w:tcPr>
          <w:p w14:paraId="223BEE84" w14:textId="6EBA7F1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0</w:t>
            </w:r>
          </w:p>
        </w:tc>
      </w:tr>
      <w:tr w:rsidR="00D071BB" w:rsidRPr="00D071BB" w14:paraId="636796AA"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7AE9EF61" w14:textId="03AA8B5F"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Sheldon House, Gayton Rd</w:t>
            </w:r>
          </w:p>
        </w:tc>
        <w:tc>
          <w:tcPr>
            <w:tcW w:w="1559" w:type="dxa"/>
            <w:tcBorders>
              <w:top w:val="nil"/>
              <w:left w:val="nil"/>
              <w:bottom w:val="single" w:sz="8" w:space="0" w:color="auto"/>
              <w:right w:val="single" w:sz="8" w:space="0" w:color="auto"/>
            </w:tcBorders>
            <w:vAlign w:val="center"/>
          </w:tcPr>
          <w:p w14:paraId="7B914ECD" w14:textId="40B17249"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1,158,000</w:t>
            </w:r>
          </w:p>
        </w:tc>
        <w:tc>
          <w:tcPr>
            <w:tcW w:w="1559" w:type="dxa"/>
            <w:tcBorders>
              <w:top w:val="nil"/>
              <w:left w:val="nil"/>
              <w:bottom w:val="single" w:sz="8" w:space="0" w:color="auto"/>
              <w:right w:val="single" w:sz="8" w:space="0" w:color="auto"/>
            </w:tcBorders>
            <w:vAlign w:val="center"/>
          </w:tcPr>
          <w:p w14:paraId="10890457" w14:textId="727A2BE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05F6FB6B" w14:textId="53F2ADB5"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73782670" w14:textId="1FFED78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1,158,000</w:t>
            </w:r>
          </w:p>
        </w:tc>
      </w:tr>
      <w:tr w:rsidR="00D071BB" w:rsidRPr="00D071BB" w14:paraId="10D74D5E"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180BDAE4" w14:textId="0E9F9A5C"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Greenhill Library Pavilion</w:t>
            </w:r>
          </w:p>
        </w:tc>
        <w:tc>
          <w:tcPr>
            <w:tcW w:w="1559" w:type="dxa"/>
            <w:tcBorders>
              <w:top w:val="nil"/>
              <w:left w:val="nil"/>
              <w:bottom w:val="single" w:sz="8" w:space="0" w:color="auto"/>
              <w:right w:val="single" w:sz="8" w:space="0" w:color="auto"/>
            </w:tcBorders>
            <w:vAlign w:val="center"/>
          </w:tcPr>
          <w:p w14:paraId="19D91C38" w14:textId="1BF16B01"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115,000</w:t>
            </w:r>
          </w:p>
        </w:tc>
        <w:tc>
          <w:tcPr>
            <w:tcW w:w="1559" w:type="dxa"/>
            <w:tcBorders>
              <w:top w:val="nil"/>
              <w:left w:val="nil"/>
              <w:bottom w:val="single" w:sz="8" w:space="0" w:color="auto"/>
              <w:right w:val="single" w:sz="8" w:space="0" w:color="auto"/>
            </w:tcBorders>
            <w:vAlign w:val="center"/>
          </w:tcPr>
          <w:p w14:paraId="391C5D72" w14:textId="17A2C5F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04420048" w14:textId="5A90EB25"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1039B4BC" w14:textId="0499CB8D"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115,000</w:t>
            </w:r>
          </w:p>
        </w:tc>
      </w:tr>
      <w:tr w:rsidR="00D071BB" w:rsidRPr="00D071BB" w14:paraId="14208F56"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2EBFC40D" w14:textId="1B22A349"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Forward Drive Storage unit</w:t>
            </w:r>
          </w:p>
        </w:tc>
        <w:tc>
          <w:tcPr>
            <w:tcW w:w="1559" w:type="dxa"/>
            <w:tcBorders>
              <w:top w:val="nil"/>
              <w:left w:val="nil"/>
              <w:bottom w:val="single" w:sz="8" w:space="0" w:color="auto"/>
              <w:right w:val="single" w:sz="8" w:space="0" w:color="auto"/>
            </w:tcBorders>
            <w:vAlign w:val="center"/>
          </w:tcPr>
          <w:p w14:paraId="0DD0E358" w14:textId="1ADEF0CD"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70,000</w:t>
            </w:r>
          </w:p>
        </w:tc>
        <w:tc>
          <w:tcPr>
            <w:tcW w:w="1559" w:type="dxa"/>
            <w:tcBorders>
              <w:top w:val="nil"/>
              <w:left w:val="nil"/>
              <w:bottom w:val="single" w:sz="8" w:space="0" w:color="auto"/>
              <w:right w:val="single" w:sz="8" w:space="0" w:color="auto"/>
            </w:tcBorders>
            <w:vAlign w:val="center"/>
          </w:tcPr>
          <w:p w14:paraId="21AE586C" w14:textId="75C8B4AC"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036366A1" w14:textId="2FC82046"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3882FC94" w14:textId="2B8AE596"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70,000</w:t>
            </w:r>
          </w:p>
        </w:tc>
      </w:tr>
      <w:tr w:rsidR="00D071BB" w:rsidRPr="00D071BB" w14:paraId="7B7F89D5"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40279A5A" w14:textId="0A968243"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HAC Event space</w:t>
            </w:r>
          </w:p>
        </w:tc>
        <w:tc>
          <w:tcPr>
            <w:tcW w:w="1559" w:type="dxa"/>
            <w:tcBorders>
              <w:top w:val="nil"/>
              <w:left w:val="nil"/>
              <w:bottom w:val="single" w:sz="8" w:space="0" w:color="auto"/>
              <w:right w:val="single" w:sz="8" w:space="0" w:color="auto"/>
            </w:tcBorders>
            <w:vAlign w:val="center"/>
          </w:tcPr>
          <w:p w14:paraId="4A594CCE" w14:textId="4B1004D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35,000</w:t>
            </w:r>
          </w:p>
        </w:tc>
        <w:tc>
          <w:tcPr>
            <w:tcW w:w="1559" w:type="dxa"/>
            <w:tcBorders>
              <w:top w:val="nil"/>
              <w:left w:val="nil"/>
              <w:bottom w:val="single" w:sz="8" w:space="0" w:color="auto"/>
              <w:right w:val="single" w:sz="8" w:space="0" w:color="auto"/>
            </w:tcBorders>
            <w:vAlign w:val="center"/>
          </w:tcPr>
          <w:p w14:paraId="5EE45A11" w14:textId="40970818"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123829AF" w14:textId="7D1E65F2"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79603934" w14:textId="1239DDF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35,000</w:t>
            </w:r>
          </w:p>
        </w:tc>
      </w:tr>
      <w:tr w:rsidR="00D071BB" w:rsidRPr="00D071BB" w14:paraId="4AA24CA2"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66D799A7" w14:textId="510519AE"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Forward Drive Specialised Back Office</w:t>
            </w:r>
          </w:p>
        </w:tc>
        <w:tc>
          <w:tcPr>
            <w:tcW w:w="1559" w:type="dxa"/>
            <w:tcBorders>
              <w:top w:val="nil"/>
              <w:left w:val="nil"/>
              <w:bottom w:val="single" w:sz="8" w:space="0" w:color="auto"/>
              <w:right w:val="single" w:sz="8" w:space="0" w:color="auto"/>
            </w:tcBorders>
            <w:vAlign w:val="center"/>
          </w:tcPr>
          <w:p w14:paraId="782E7D72" w14:textId="4BB716F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35,000</w:t>
            </w:r>
          </w:p>
        </w:tc>
        <w:tc>
          <w:tcPr>
            <w:tcW w:w="1559" w:type="dxa"/>
            <w:tcBorders>
              <w:top w:val="nil"/>
              <w:left w:val="nil"/>
              <w:bottom w:val="single" w:sz="8" w:space="0" w:color="auto"/>
              <w:right w:val="single" w:sz="8" w:space="0" w:color="auto"/>
            </w:tcBorders>
            <w:vAlign w:val="center"/>
          </w:tcPr>
          <w:p w14:paraId="2A8F8031" w14:textId="49F87A50"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1C9B38EE" w14:textId="5C792993"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5E35A25A" w14:textId="2F3CD66D"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35,000</w:t>
            </w:r>
          </w:p>
        </w:tc>
      </w:tr>
      <w:tr w:rsidR="00D071BB" w:rsidRPr="00D071BB" w14:paraId="651181C0"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4F62B8F2" w14:textId="4BFAEE43"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Accommodation Strategy - Fit out works for sites occupied by 3rd party</w:t>
            </w:r>
          </w:p>
        </w:tc>
        <w:tc>
          <w:tcPr>
            <w:tcW w:w="1559" w:type="dxa"/>
            <w:tcBorders>
              <w:top w:val="nil"/>
              <w:left w:val="nil"/>
              <w:bottom w:val="single" w:sz="8" w:space="0" w:color="auto"/>
              <w:right w:val="single" w:sz="8" w:space="0" w:color="auto"/>
            </w:tcBorders>
            <w:vAlign w:val="center"/>
          </w:tcPr>
          <w:p w14:paraId="195DEA71" w14:textId="749351EF"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60,000</w:t>
            </w:r>
          </w:p>
        </w:tc>
        <w:tc>
          <w:tcPr>
            <w:tcW w:w="1559" w:type="dxa"/>
            <w:tcBorders>
              <w:top w:val="nil"/>
              <w:left w:val="nil"/>
              <w:bottom w:val="single" w:sz="8" w:space="0" w:color="auto"/>
              <w:right w:val="single" w:sz="8" w:space="0" w:color="auto"/>
            </w:tcBorders>
            <w:vAlign w:val="center"/>
          </w:tcPr>
          <w:p w14:paraId="42F7B250" w14:textId="52BB369C"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00AD7F84" w14:textId="732AD10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338088EC" w14:textId="4CA17832"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60,000</w:t>
            </w:r>
          </w:p>
        </w:tc>
      </w:tr>
      <w:tr w:rsidR="00D071BB" w:rsidRPr="00D071BB" w14:paraId="0811093A"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6BAB8F8B" w14:textId="698CE5D0"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Plot S</w:t>
            </w:r>
          </w:p>
        </w:tc>
        <w:tc>
          <w:tcPr>
            <w:tcW w:w="1559" w:type="dxa"/>
            <w:tcBorders>
              <w:top w:val="nil"/>
              <w:left w:val="nil"/>
              <w:bottom w:val="single" w:sz="8" w:space="0" w:color="auto"/>
              <w:right w:val="single" w:sz="8" w:space="0" w:color="auto"/>
            </w:tcBorders>
            <w:vAlign w:val="center"/>
          </w:tcPr>
          <w:p w14:paraId="2FAEBDCF" w14:textId="5D59399F"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500,000</w:t>
            </w:r>
          </w:p>
        </w:tc>
        <w:tc>
          <w:tcPr>
            <w:tcW w:w="1559" w:type="dxa"/>
            <w:tcBorders>
              <w:top w:val="nil"/>
              <w:left w:val="nil"/>
              <w:bottom w:val="single" w:sz="8" w:space="0" w:color="auto"/>
              <w:right w:val="single" w:sz="8" w:space="0" w:color="auto"/>
            </w:tcBorders>
            <w:vAlign w:val="center"/>
          </w:tcPr>
          <w:p w14:paraId="5DB480D8" w14:textId="4304798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2A6C5983" w14:textId="1DB7180C"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-500,000</w:t>
            </w:r>
          </w:p>
        </w:tc>
        <w:tc>
          <w:tcPr>
            <w:tcW w:w="1373" w:type="dxa"/>
            <w:tcBorders>
              <w:top w:val="nil"/>
              <w:left w:val="nil"/>
              <w:bottom w:val="single" w:sz="8" w:space="0" w:color="auto"/>
              <w:right w:val="single" w:sz="8" w:space="0" w:color="auto"/>
            </w:tcBorders>
            <w:vAlign w:val="center"/>
          </w:tcPr>
          <w:p w14:paraId="70BFC5B8" w14:textId="14223C55"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0</w:t>
            </w:r>
          </w:p>
        </w:tc>
      </w:tr>
      <w:tr w:rsidR="00D071BB" w:rsidRPr="00D071BB" w14:paraId="3F7A6B21"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109BA068" w14:textId="007156A9"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Demolition of Social Club</w:t>
            </w:r>
          </w:p>
        </w:tc>
        <w:tc>
          <w:tcPr>
            <w:tcW w:w="1559" w:type="dxa"/>
            <w:tcBorders>
              <w:top w:val="nil"/>
              <w:left w:val="nil"/>
              <w:bottom w:val="single" w:sz="8" w:space="0" w:color="auto"/>
              <w:right w:val="single" w:sz="8" w:space="0" w:color="auto"/>
            </w:tcBorders>
            <w:vAlign w:val="center"/>
          </w:tcPr>
          <w:p w14:paraId="3D65814F" w14:textId="1716335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300,000</w:t>
            </w:r>
          </w:p>
        </w:tc>
        <w:tc>
          <w:tcPr>
            <w:tcW w:w="1559" w:type="dxa"/>
            <w:tcBorders>
              <w:top w:val="nil"/>
              <w:left w:val="nil"/>
              <w:bottom w:val="single" w:sz="8" w:space="0" w:color="auto"/>
              <w:right w:val="single" w:sz="8" w:space="0" w:color="auto"/>
            </w:tcBorders>
            <w:vAlign w:val="center"/>
          </w:tcPr>
          <w:p w14:paraId="7A1E9122" w14:textId="49BC4EF2"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7995C8DA" w14:textId="582D840D"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-300,000</w:t>
            </w:r>
          </w:p>
        </w:tc>
        <w:tc>
          <w:tcPr>
            <w:tcW w:w="1373" w:type="dxa"/>
            <w:tcBorders>
              <w:top w:val="nil"/>
              <w:left w:val="nil"/>
              <w:bottom w:val="single" w:sz="8" w:space="0" w:color="auto"/>
              <w:right w:val="single" w:sz="8" w:space="0" w:color="auto"/>
            </w:tcBorders>
            <w:vAlign w:val="center"/>
          </w:tcPr>
          <w:p w14:paraId="01B2B29A" w14:textId="652FB8B1"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0</w:t>
            </w:r>
          </w:p>
        </w:tc>
      </w:tr>
      <w:tr w:rsidR="00D071BB" w:rsidRPr="00D071BB" w14:paraId="43608019"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566C98C5" w14:textId="72CD5390"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Investment in HNC</w:t>
            </w:r>
          </w:p>
        </w:tc>
        <w:tc>
          <w:tcPr>
            <w:tcW w:w="1559" w:type="dxa"/>
            <w:tcBorders>
              <w:top w:val="nil"/>
              <w:left w:val="nil"/>
              <w:bottom w:val="single" w:sz="8" w:space="0" w:color="auto"/>
              <w:right w:val="single" w:sz="8" w:space="0" w:color="auto"/>
            </w:tcBorders>
            <w:vAlign w:val="center"/>
          </w:tcPr>
          <w:p w14:paraId="1F2DAEDC" w14:textId="4A0B9F6B"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2,070,000</w:t>
            </w:r>
          </w:p>
        </w:tc>
        <w:tc>
          <w:tcPr>
            <w:tcW w:w="1559" w:type="dxa"/>
            <w:tcBorders>
              <w:top w:val="nil"/>
              <w:left w:val="nil"/>
              <w:bottom w:val="single" w:sz="8" w:space="0" w:color="auto"/>
              <w:right w:val="single" w:sz="8" w:space="0" w:color="auto"/>
            </w:tcBorders>
            <w:vAlign w:val="center"/>
          </w:tcPr>
          <w:p w14:paraId="3699F9FA" w14:textId="3AEF991F"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05EB4B2F" w14:textId="14D21E85"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373" w:type="dxa"/>
            <w:tcBorders>
              <w:top w:val="nil"/>
              <w:left w:val="nil"/>
              <w:bottom w:val="single" w:sz="8" w:space="0" w:color="auto"/>
              <w:right w:val="single" w:sz="8" w:space="0" w:color="auto"/>
            </w:tcBorders>
            <w:vAlign w:val="center"/>
          </w:tcPr>
          <w:p w14:paraId="4C17AD4F" w14:textId="5BE98924"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2,070,000</w:t>
            </w:r>
          </w:p>
        </w:tc>
      </w:tr>
      <w:tr w:rsidR="00D071BB" w:rsidRPr="00D071BB" w14:paraId="0633B38E"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681F1519" w14:textId="293F0617" w:rsidR="00D071BB" w:rsidRPr="00D071BB" w:rsidRDefault="00D071BB" w:rsidP="00D071BB">
            <w:pPr>
              <w:rPr>
                <w:rFonts w:ascii="Century Gothic" w:eastAsiaTheme="minorHAnsi" w:hAnsi="Century Gothic" w:cs="Calibri"/>
                <w:color w:val="FF0000"/>
                <w:sz w:val="20"/>
                <w:lang w:val="en-US"/>
              </w:rPr>
            </w:pPr>
            <w:r w:rsidRPr="00D071BB">
              <w:rPr>
                <w:color w:val="000000"/>
                <w:sz w:val="20"/>
                <w:lang w:eastAsia="en-GB"/>
              </w:rPr>
              <w:t>Investment in 3 core sites</w:t>
            </w:r>
          </w:p>
        </w:tc>
        <w:tc>
          <w:tcPr>
            <w:tcW w:w="1559" w:type="dxa"/>
            <w:tcBorders>
              <w:top w:val="nil"/>
              <w:left w:val="nil"/>
              <w:bottom w:val="single" w:sz="8" w:space="0" w:color="auto"/>
              <w:right w:val="single" w:sz="8" w:space="0" w:color="auto"/>
            </w:tcBorders>
            <w:vAlign w:val="center"/>
          </w:tcPr>
          <w:p w14:paraId="0B794E01" w14:textId="71D97C4A"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428,768</w:t>
            </w:r>
          </w:p>
        </w:tc>
        <w:tc>
          <w:tcPr>
            <w:tcW w:w="1559" w:type="dxa"/>
            <w:tcBorders>
              <w:top w:val="nil"/>
              <w:left w:val="nil"/>
              <w:bottom w:val="single" w:sz="8" w:space="0" w:color="auto"/>
              <w:right w:val="single" w:sz="8" w:space="0" w:color="auto"/>
            </w:tcBorders>
            <w:vAlign w:val="center"/>
          </w:tcPr>
          <w:p w14:paraId="47B241BF" w14:textId="3F821E3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 </w:t>
            </w:r>
          </w:p>
        </w:tc>
        <w:tc>
          <w:tcPr>
            <w:tcW w:w="1559" w:type="dxa"/>
            <w:tcBorders>
              <w:top w:val="nil"/>
              <w:left w:val="nil"/>
              <w:bottom w:val="single" w:sz="8" w:space="0" w:color="auto"/>
              <w:right w:val="single" w:sz="8" w:space="0" w:color="auto"/>
            </w:tcBorders>
            <w:vAlign w:val="center"/>
          </w:tcPr>
          <w:p w14:paraId="2F0F64DE" w14:textId="7DCDFD37"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3,159,454</w:t>
            </w:r>
          </w:p>
        </w:tc>
        <w:tc>
          <w:tcPr>
            <w:tcW w:w="1373" w:type="dxa"/>
            <w:tcBorders>
              <w:top w:val="nil"/>
              <w:left w:val="nil"/>
              <w:bottom w:val="single" w:sz="8" w:space="0" w:color="auto"/>
              <w:right w:val="single" w:sz="8" w:space="0" w:color="auto"/>
            </w:tcBorders>
            <w:vAlign w:val="center"/>
          </w:tcPr>
          <w:p w14:paraId="1C911DDF" w14:textId="627833FE" w:rsidR="00D071BB" w:rsidRPr="00D071BB" w:rsidRDefault="00D071BB" w:rsidP="00D071BB">
            <w:pPr>
              <w:jc w:val="right"/>
              <w:rPr>
                <w:rFonts w:ascii="Century Gothic" w:eastAsiaTheme="minorHAnsi" w:hAnsi="Century Gothic" w:cs="Calibri"/>
                <w:color w:val="FF0000"/>
                <w:sz w:val="20"/>
                <w:lang w:val="en-US"/>
              </w:rPr>
            </w:pPr>
            <w:r w:rsidRPr="00D071BB">
              <w:rPr>
                <w:color w:val="000000"/>
                <w:sz w:val="20"/>
                <w:lang w:eastAsia="en-GB"/>
              </w:rPr>
              <w:t>3,588,222</w:t>
            </w:r>
          </w:p>
        </w:tc>
      </w:tr>
      <w:tr w:rsidR="00D071BB" w:rsidRPr="00D071BB" w14:paraId="2673E3AB" w14:textId="77777777" w:rsidTr="00D071BB">
        <w:trPr>
          <w:trHeight w:val="298"/>
        </w:trPr>
        <w:tc>
          <w:tcPr>
            <w:tcW w:w="3823" w:type="dxa"/>
            <w:tcBorders>
              <w:top w:val="nil"/>
              <w:left w:val="single" w:sz="8" w:space="0" w:color="auto"/>
              <w:bottom w:val="single" w:sz="8" w:space="0" w:color="auto"/>
              <w:right w:val="single" w:sz="8" w:space="0" w:color="auto"/>
            </w:tcBorders>
            <w:vAlign w:val="center"/>
          </w:tcPr>
          <w:p w14:paraId="087C0344" w14:textId="119281A4" w:rsidR="00D071BB" w:rsidRPr="00D071BB" w:rsidRDefault="00D071BB" w:rsidP="00D071BB">
            <w:pPr>
              <w:rPr>
                <w:rFonts w:ascii="Century Gothic" w:eastAsiaTheme="minorHAnsi" w:hAnsi="Century Gothic" w:cs="Calibri"/>
                <w:color w:val="FF0000"/>
                <w:sz w:val="20"/>
                <w:lang w:val="en-US"/>
              </w:rPr>
            </w:pPr>
            <w:r w:rsidRPr="00D071BB">
              <w:rPr>
                <w:b/>
                <w:bCs/>
                <w:color w:val="000000"/>
                <w:sz w:val="20"/>
                <w:lang w:eastAsia="en-GB"/>
              </w:rPr>
              <w:t> </w:t>
            </w:r>
            <w:r>
              <w:rPr>
                <w:b/>
                <w:bCs/>
                <w:color w:val="000000"/>
                <w:sz w:val="20"/>
                <w:lang w:eastAsia="en-GB"/>
              </w:rPr>
              <w:t>Totals</w:t>
            </w:r>
          </w:p>
        </w:tc>
        <w:tc>
          <w:tcPr>
            <w:tcW w:w="1559" w:type="dxa"/>
            <w:tcBorders>
              <w:top w:val="nil"/>
              <w:left w:val="nil"/>
              <w:bottom w:val="single" w:sz="8" w:space="0" w:color="auto"/>
              <w:right w:val="single" w:sz="8" w:space="0" w:color="auto"/>
            </w:tcBorders>
            <w:vAlign w:val="center"/>
          </w:tcPr>
          <w:p w14:paraId="1895EF6B" w14:textId="2B387ED3" w:rsidR="00D071BB" w:rsidRPr="00D071BB" w:rsidRDefault="00D071BB" w:rsidP="00D071BB">
            <w:pPr>
              <w:jc w:val="right"/>
              <w:rPr>
                <w:rFonts w:ascii="Century Gothic" w:eastAsiaTheme="minorHAnsi" w:hAnsi="Century Gothic" w:cs="Calibri"/>
                <w:color w:val="FF0000"/>
                <w:sz w:val="20"/>
                <w:lang w:val="en-US"/>
              </w:rPr>
            </w:pPr>
            <w:r w:rsidRPr="00D071BB">
              <w:rPr>
                <w:b/>
                <w:bCs/>
                <w:color w:val="000000"/>
                <w:sz w:val="20"/>
                <w:lang w:eastAsia="en-GB"/>
              </w:rPr>
              <w:t>7,657,397</w:t>
            </w:r>
          </w:p>
        </w:tc>
        <w:tc>
          <w:tcPr>
            <w:tcW w:w="1559" w:type="dxa"/>
            <w:tcBorders>
              <w:top w:val="nil"/>
              <w:left w:val="nil"/>
              <w:bottom w:val="single" w:sz="8" w:space="0" w:color="auto"/>
              <w:right w:val="single" w:sz="8" w:space="0" w:color="auto"/>
            </w:tcBorders>
            <w:vAlign w:val="center"/>
          </w:tcPr>
          <w:p w14:paraId="4B0E99B0" w14:textId="31661DF9" w:rsidR="00D071BB" w:rsidRPr="00D071BB" w:rsidRDefault="00D071BB" w:rsidP="00D071BB">
            <w:pPr>
              <w:jc w:val="right"/>
              <w:rPr>
                <w:rFonts w:ascii="Century Gothic" w:eastAsiaTheme="minorHAnsi" w:hAnsi="Century Gothic" w:cs="Calibri"/>
                <w:color w:val="FF0000"/>
                <w:sz w:val="20"/>
                <w:lang w:val="en-US"/>
              </w:rPr>
            </w:pPr>
            <w:r w:rsidRPr="00D071BB">
              <w:rPr>
                <w:b/>
                <w:bCs/>
                <w:color w:val="000000"/>
                <w:sz w:val="20"/>
                <w:lang w:eastAsia="en-GB"/>
              </w:rPr>
              <w:t>0</w:t>
            </w:r>
          </w:p>
        </w:tc>
        <w:tc>
          <w:tcPr>
            <w:tcW w:w="1559" w:type="dxa"/>
            <w:tcBorders>
              <w:top w:val="nil"/>
              <w:left w:val="nil"/>
              <w:bottom w:val="single" w:sz="8" w:space="0" w:color="auto"/>
              <w:right w:val="single" w:sz="8" w:space="0" w:color="auto"/>
            </w:tcBorders>
            <w:vAlign w:val="center"/>
          </w:tcPr>
          <w:p w14:paraId="3B23565A" w14:textId="3598B193" w:rsidR="00D071BB" w:rsidRPr="00D071BB" w:rsidRDefault="00D071BB" w:rsidP="00D071BB">
            <w:pPr>
              <w:jc w:val="right"/>
              <w:rPr>
                <w:rFonts w:ascii="Century Gothic" w:eastAsiaTheme="minorHAnsi" w:hAnsi="Century Gothic" w:cs="Calibri"/>
                <w:color w:val="FF0000"/>
                <w:sz w:val="20"/>
                <w:lang w:val="en-US"/>
              </w:rPr>
            </w:pPr>
            <w:r w:rsidRPr="00D071BB">
              <w:rPr>
                <w:b/>
                <w:bCs/>
                <w:color w:val="000000"/>
                <w:sz w:val="20"/>
                <w:lang w:eastAsia="en-GB"/>
              </w:rPr>
              <w:t>0</w:t>
            </w:r>
          </w:p>
        </w:tc>
        <w:tc>
          <w:tcPr>
            <w:tcW w:w="1373" w:type="dxa"/>
            <w:tcBorders>
              <w:top w:val="nil"/>
              <w:left w:val="nil"/>
              <w:bottom w:val="single" w:sz="8" w:space="0" w:color="auto"/>
              <w:right w:val="single" w:sz="8" w:space="0" w:color="auto"/>
            </w:tcBorders>
            <w:vAlign w:val="center"/>
          </w:tcPr>
          <w:p w14:paraId="0A2AC929" w14:textId="3DE11F42" w:rsidR="00D071BB" w:rsidRPr="00D071BB" w:rsidRDefault="00D071BB" w:rsidP="00D071BB">
            <w:pPr>
              <w:jc w:val="right"/>
              <w:rPr>
                <w:rFonts w:ascii="Century Gothic" w:eastAsiaTheme="minorHAnsi" w:hAnsi="Century Gothic" w:cs="Calibri"/>
                <w:color w:val="FF0000"/>
                <w:sz w:val="20"/>
                <w:lang w:val="en-US"/>
              </w:rPr>
            </w:pPr>
            <w:r w:rsidRPr="00D071BB">
              <w:rPr>
                <w:b/>
                <w:bCs/>
                <w:color w:val="000000"/>
                <w:sz w:val="20"/>
                <w:lang w:eastAsia="en-GB"/>
              </w:rPr>
              <w:t>7,657,397</w:t>
            </w:r>
          </w:p>
        </w:tc>
      </w:tr>
    </w:tbl>
    <w:p w14:paraId="0FC2BEF3" w14:textId="011E324F" w:rsidR="008F1BA1" w:rsidRPr="00B37833" w:rsidRDefault="008F1BA1" w:rsidP="008A39F5">
      <w:pPr>
        <w:rPr>
          <w:rFonts w:ascii="Century Gothic" w:eastAsiaTheme="minorHAnsi" w:hAnsi="Century Gothic" w:cs="Calibri"/>
          <w:color w:val="FF0000"/>
          <w:sz w:val="22"/>
          <w:szCs w:val="22"/>
          <w:lang w:val="en-US"/>
        </w:rPr>
      </w:pPr>
    </w:p>
    <w:p w14:paraId="521EA08D" w14:textId="2BE52F47" w:rsidR="007C5702" w:rsidRPr="00CC3A3C" w:rsidRDefault="001C2ADC" w:rsidP="007A4D31">
      <w:pPr>
        <w:pStyle w:val="ListParagraph"/>
        <w:numPr>
          <w:ilvl w:val="0"/>
          <w:numId w:val="6"/>
        </w:numPr>
        <w:tabs>
          <w:tab w:val="left" w:pos="567"/>
        </w:tabs>
        <w:ind w:left="567" w:hanging="567"/>
        <w:jc w:val="both"/>
        <w:rPr>
          <w:rFonts w:cs="Arial"/>
          <w:b/>
          <w:szCs w:val="24"/>
          <w:u w:val="single"/>
        </w:rPr>
      </w:pPr>
      <w:r w:rsidRPr="00CC3A3C">
        <w:rPr>
          <w:rFonts w:cs="Arial"/>
          <w:b/>
          <w:szCs w:val="24"/>
          <w:u w:val="single"/>
        </w:rPr>
        <w:t xml:space="preserve">COUNCIL TRADING STRUCTURE UPDATE </w:t>
      </w:r>
      <w:r w:rsidR="00CC3A3C" w:rsidRPr="00CC3A3C">
        <w:rPr>
          <w:rFonts w:cs="Arial"/>
          <w:b/>
          <w:szCs w:val="24"/>
          <w:u w:val="single"/>
        </w:rPr>
        <w:t>2021-22</w:t>
      </w:r>
      <w:r w:rsidRPr="00CC3A3C">
        <w:rPr>
          <w:rFonts w:cs="Arial"/>
          <w:b/>
          <w:szCs w:val="24"/>
          <w:u w:val="single"/>
        </w:rPr>
        <w:t xml:space="preserve"> </w:t>
      </w:r>
    </w:p>
    <w:p w14:paraId="484B8B33" w14:textId="77777777" w:rsidR="00DD22D7" w:rsidRPr="00CC3A3C" w:rsidRDefault="00DD22D7" w:rsidP="00DD22D7">
      <w:pPr>
        <w:pStyle w:val="ListParagraph"/>
        <w:tabs>
          <w:tab w:val="left" w:pos="567"/>
        </w:tabs>
        <w:ind w:left="567"/>
        <w:jc w:val="both"/>
        <w:rPr>
          <w:rFonts w:cs="Arial"/>
          <w:b/>
          <w:szCs w:val="24"/>
          <w:u w:val="single"/>
        </w:rPr>
      </w:pPr>
    </w:p>
    <w:p w14:paraId="2651DDB3" w14:textId="6D4D72EC" w:rsidR="00A2107D" w:rsidRPr="00CC3A3C" w:rsidRDefault="007C5702" w:rsidP="007A4D31">
      <w:pPr>
        <w:pStyle w:val="ListParagraph"/>
        <w:numPr>
          <w:ilvl w:val="1"/>
          <w:numId w:val="11"/>
        </w:numPr>
        <w:tabs>
          <w:tab w:val="left" w:pos="567"/>
        </w:tabs>
        <w:ind w:left="567" w:hanging="567"/>
        <w:jc w:val="both"/>
      </w:pPr>
      <w:r w:rsidRPr="00CC3A3C">
        <w:rPr>
          <w:rFonts w:cs="Arial"/>
          <w:szCs w:val="24"/>
        </w:rPr>
        <w:t>The</w:t>
      </w:r>
      <w:r w:rsidR="001C2ADC" w:rsidRPr="00CC3A3C">
        <w:rPr>
          <w:rFonts w:cs="Arial"/>
          <w:szCs w:val="24"/>
        </w:rPr>
        <w:t xml:space="preserve"> Council’s Trading Structure update is attached at Appendix </w:t>
      </w:r>
      <w:r w:rsidR="008C77BE">
        <w:rPr>
          <w:rFonts w:cs="Arial"/>
          <w:szCs w:val="24"/>
        </w:rPr>
        <w:t>5</w:t>
      </w:r>
      <w:r w:rsidR="002C5BD7" w:rsidRPr="00CC3A3C">
        <w:rPr>
          <w:rFonts w:cs="Arial"/>
          <w:szCs w:val="24"/>
        </w:rPr>
        <w:t xml:space="preserve"> and summarises the financial position and provides a general update on the activities of all the Council’s trading entities.</w:t>
      </w:r>
    </w:p>
    <w:p w14:paraId="7C188A0C" w14:textId="71553502" w:rsidR="00333BDE" w:rsidRPr="00B37833" w:rsidRDefault="00333BDE" w:rsidP="003634DA">
      <w:pPr>
        <w:pStyle w:val="ListParagraph"/>
        <w:tabs>
          <w:tab w:val="left" w:pos="567"/>
        </w:tabs>
        <w:ind w:left="567"/>
        <w:jc w:val="both"/>
        <w:rPr>
          <w:rFonts w:cs="Arial"/>
          <w:color w:val="FF0000"/>
          <w:szCs w:val="24"/>
        </w:rPr>
      </w:pPr>
    </w:p>
    <w:p w14:paraId="6806E5E2" w14:textId="4D0935A1" w:rsidR="005641E0" w:rsidRPr="00CC3A3C" w:rsidRDefault="002C5BD7" w:rsidP="007A4D31">
      <w:pPr>
        <w:pStyle w:val="ListParagraph"/>
        <w:numPr>
          <w:ilvl w:val="0"/>
          <w:numId w:val="6"/>
        </w:numPr>
        <w:ind w:left="567" w:hanging="567"/>
        <w:jc w:val="both"/>
        <w:rPr>
          <w:b/>
          <w:szCs w:val="24"/>
          <w:u w:val="single"/>
        </w:rPr>
      </w:pPr>
      <w:r w:rsidRPr="00CC3A3C">
        <w:rPr>
          <w:b/>
          <w:szCs w:val="24"/>
          <w:u w:val="single"/>
        </w:rPr>
        <w:t xml:space="preserve">REPORTING FOR THE </w:t>
      </w:r>
      <w:r w:rsidR="00CC3A3C" w:rsidRPr="00CC3A3C">
        <w:rPr>
          <w:b/>
          <w:szCs w:val="24"/>
          <w:u w:val="single"/>
        </w:rPr>
        <w:t>2021-22</w:t>
      </w:r>
      <w:r w:rsidRPr="00CC3A3C">
        <w:rPr>
          <w:b/>
          <w:szCs w:val="24"/>
          <w:u w:val="single"/>
        </w:rPr>
        <w:t xml:space="preserve"> FINANCIAL YEAR</w:t>
      </w:r>
    </w:p>
    <w:p w14:paraId="3C11B41B" w14:textId="77777777" w:rsidR="002C5BD7" w:rsidRPr="00CC3A3C" w:rsidRDefault="002C5BD7" w:rsidP="00487CDB">
      <w:pPr>
        <w:jc w:val="both"/>
        <w:rPr>
          <w:b/>
          <w:szCs w:val="24"/>
          <w:u w:val="single"/>
        </w:rPr>
      </w:pPr>
    </w:p>
    <w:p w14:paraId="10EF8BD3" w14:textId="402BFF5D" w:rsidR="005641E0" w:rsidRPr="00CC3A3C" w:rsidRDefault="004325F9" w:rsidP="00F52080">
      <w:pPr>
        <w:jc w:val="both"/>
        <w:rPr>
          <w:szCs w:val="24"/>
        </w:rPr>
      </w:pPr>
      <w:r w:rsidRPr="00CC3A3C">
        <w:rPr>
          <w:szCs w:val="24"/>
        </w:rPr>
        <w:t>5.1 This</w:t>
      </w:r>
      <w:r w:rsidR="00F52080" w:rsidRPr="00CC3A3C">
        <w:rPr>
          <w:szCs w:val="24"/>
        </w:rPr>
        <w:t xml:space="preserve"> is the</w:t>
      </w:r>
      <w:r w:rsidR="00291123" w:rsidRPr="00CC3A3C">
        <w:rPr>
          <w:szCs w:val="24"/>
        </w:rPr>
        <w:t xml:space="preserve"> final</w:t>
      </w:r>
      <w:r w:rsidR="00F52080" w:rsidRPr="00CC3A3C">
        <w:rPr>
          <w:szCs w:val="24"/>
        </w:rPr>
        <w:t xml:space="preserve"> revenue and capital budget monitoring report for </w:t>
      </w:r>
      <w:r w:rsidR="00CC3A3C" w:rsidRPr="00CC3A3C">
        <w:rPr>
          <w:szCs w:val="24"/>
        </w:rPr>
        <w:t>2021-22</w:t>
      </w:r>
    </w:p>
    <w:p w14:paraId="3AF4DF71" w14:textId="77777777" w:rsidR="00CD062E" w:rsidRPr="00CC3A3C" w:rsidRDefault="00CD062E" w:rsidP="003634DA">
      <w:pPr>
        <w:ind w:left="1211"/>
        <w:jc w:val="both"/>
        <w:rPr>
          <w:szCs w:val="24"/>
        </w:rPr>
      </w:pPr>
    </w:p>
    <w:p w14:paraId="6963CCA6" w14:textId="31F612B0" w:rsidR="00333FAA" w:rsidRPr="00CC3A3C" w:rsidRDefault="00BC74D1" w:rsidP="006A200B">
      <w:pPr>
        <w:pStyle w:val="Heading2"/>
        <w:ind w:left="567" w:hanging="567"/>
        <w:jc w:val="both"/>
        <w:rPr>
          <w:sz w:val="24"/>
          <w:szCs w:val="24"/>
        </w:rPr>
      </w:pPr>
      <w:r w:rsidRPr="00CC3A3C">
        <w:rPr>
          <w:b w:val="0"/>
          <w:sz w:val="24"/>
          <w:szCs w:val="24"/>
        </w:rPr>
        <w:t>6</w:t>
      </w:r>
      <w:r w:rsidR="004C0103" w:rsidRPr="00CC3A3C">
        <w:rPr>
          <w:b w:val="0"/>
          <w:sz w:val="24"/>
          <w:szCs w:val="24"/>
        </w:rPr>
        <w:t>.0</w:t>
      </w:r>
      <w:r w:rsidR="00A80770" w:rsidRPr="00CC3A3C">
        <w:rPr>
          <w:sz w:val="24"/>
          <w:szCs w:val="24"/>
        </w:rPr>
        <w:t xml:space="preserve">    </w:t>
      </w:r>
      <w:r w:rsidR="00333FAA" w:rsidRPr="00CC3A3C">
        <w:rPr>
          <w:sz w:val="24"/>
          <w:szCs w:val="24"/>
        </w:rPr>
        <w:t>Implications of the Recommendation</w:t>
      </w:r>
    </w:p>
    <w:p w14:paraId="34AEEF65" w14:textId="4837C5E0" w:rsidR="005641E0" w:rsidRPr="00CC3A3C" w:rsidRDefault="00A80770" w:rsidP="002E1DF4">
      <w:pPr>
        <w:ind w:left="709" w:hanging="709"/>
        <w:jc w:val="both"/>
        <w:rPr>
          <w:szCs w:val="24"/>
        </w:rPr>
      </w:pPr>
      <w:r w:rsidRPr="00CC3A3C">
        <w:rPr>
          <w:b/>
          <w:szCs w:val="24"/>
        </w:rPr>
        <w:t xml:space="preserve">         </w:t>
      </w:r>
      <w:r w:rsidR="006D3BD9" w:rsidRPr="00CC3A3C">
        <w:rPr>
          <w:szCs w:val="24"/>
        </w:rPr>
        <w:t>Implications of recommendation are set out in the body of this report.</w:t>
      </w:r>
    </w:p>
    <w:p w14:paraId="3622CF88" w14:textId="42247660" w:rsidR="00955421" w:rsidRDefault="00955421" w:rsidP="00AF66F2">
      <w:pPr>
        <w:jc w:val="both"/>
        <w:rPr>
          <w:b/>
          <w:color w:val="FF0000"/>
          <w:szCs w:val="24"/>
        </w:rPr>
      </w:pPr>
    </w:p>
    <w:p w14:paraId="70806613" w14:textId="63292056" w:rsidR="00333FAA" w:rsidRPr="00CC3A3C" w:rsidRDefault="00BC74D1" w:rsidP="003634DA">
      <w:pPr>
        <w:pStyle w:val="Heading4"/>
        <w:tabs>
          <w:tab w:val="left" w:pos="567"/>
        </w:tabs>
        <w:jc w:val="both"/>
        <w:rPr>
          <w:szCs w:val="24"/>
        </w:rPr>
      </w:pPr>
      <w:r w:rsidRPr="00CC3A3C">
        <w:rPr>
          <w:b w:val="0"/>
          <w:szCs w:val="24"/>
        </w:rPr>
        <w:t>7</w:t>
      </w:r>
      <w:r w:rsidR="004C0103" w:rsidRPr="00CC3A3C">
        <w:rPr>
          <w:b w:val="0"/>
          <w:szCs w:val="24"/>
        </w:rPr>
        <w:t>.0</w:t>
      </w:r>
      <w:r w:rsidR="004C0103" w:rsidRPr="00CC3A3C">
        <w:rPr>
          <w:b w:val="0"/>
          <w:szCs w:val="24"/>
        </w:rPr>
        <w:tab/>
      </w:r>
      <w:r w:rsidR="00333FAA" w:rsidRPr="00CC3A3C">
        <w:rPr>
          <w:szCs w:val="24"/>
        </w:rPr>
        <w:t>Performance Issues</w:t>
      </w:r>
      <w:r w:rsidR="001C7E35" w:rsidRPr="00CC3A3C">
        <w:rPr>
          <w:szCs w:val="24"/>
        </w:rPr>
        <w:tab/>
      </w:r>
    </w:p>
    <w:p w14:paraId="3516F3B6" w14:textId="77777777" w:rsidR="002F6F08" w:rsidRPr="00CC3A3C" w:rsidRDefault="002F6F08" w:rsidP="003634DA">
      <w:pPr>
        <w:tabs>
          <w:tab w:val="left" w:pos="7245"/>
        </w:tabs>
        <w:ind w:left="567"/>
        <w:jc w:val="both"/>
        <w:rPr>
          <w:szCs w:val="24"/>
        </w:rPr>
      </w:pPr>
    </w:p>
    <w:p w14:paraId="2669770A" w14:textId="4355291C" w:rsidR="007935C5" w:rsidRPr="00CC3A3C" w:rsidRDefault="007935C5" w:rsidP="003634DA">
      <w:pPr>
        <w:tabs>
          <w:tab w:val="left" w:pos="7245"/>
        </w:tabs>
        <w:ind w:left="567"/>
        <w:jc w:val="both"/>
        <w:rPr>
          <w:szCs w:val="24"/>
          <w:lang w:val="en-US"/>
        </w:rPr>
      </w:pPr>
      <w:r w:rsidRPr="00CC3A3C">
        <w:rPr>
          <w:szCs w:val="24"/>
        </w:rPr>
        <w:t xml:space="preserve">Good financial monitoring is essential to </w:t>
      </w:r>
      <w:r w:rsidRPr="00CC3A3C">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5E65C0F0" w14:textId="3F2A721A" w:rsidR="007935C5" w:rsidRPr="00CC3A3C" w:rsidRDefault="00F52080" w:rsidP="003634DA">
      <w:pPr>
        <w:tabs>
          <w:tab w:val="left" w:pos="7245"/>
        </w:tabs>
        <w:ind w:left="567"/>
        <w:jc w:val="both"/>
        <w:rPr>
          <w:szCs w:val="24"/>
        </w:rPr>
      </w:pPr>
      <w:r w:rsidRPr="00CC3A3C">
        <w:rPr>
          <w:szCs w:val="24"/>
        </w:rPr>
        <w:t xml:space="preserve">The final revenue outturn for </w:t>
      </w:r>
      <w:r w:rsidR="00CC3A3C" w:rsidRPr="00CC3A3C">
        <w:rPr>
          <w:szCs w:val="24"/>
        </w:rPr>
        <w:t>2021-22</w:t>
      </w:r>
      <w:r w:rsidRPr="00CC3A3C">
        <w:rPr>
          <w:szCs w:val="24"/>
        </w:rPr>
        <w:t xml:space="preserve"> is a balanced budget</w:t>
      </w:r>
    </w:p>
    <w:p w14:paraId="00A7ACC1" w14:textId="77777777" w:rsidR="007935C5" w:rsidRPr="0016302D" w:rsidRDefault="007935C5" w:rsidP="007935C5">
      <w:pPr>
        <w:tabs>
          <w:tab w:val="left" w:pos="7245"/>
        </w:tabs>
        <w:ind w:left="709"/>
        <w:jc w:val="both"/>
        <w:rPr>
          <w:szCs w:val="24"/>
        </w:rPr>
      </w:pPr>
    </w:p>
    <w:p w14:paraId="3B9B1B5D" w14:textId="614AF107" w:rsidR="007935C5" w:rsidRPr="0016302D" w:rsidRDefault="0016302D" w:rsidP="003634DA">
      <w:pPr>
        <w:tabs>
          <w:tab w:val="left" w:pos="7245"/>
        </w:tabs>
        <w:ind w:left="567"/>
        <w:jc w:val="both"/>
        <w:rPr>
          <w:szCs w:val="24"/>
        </w:rPr>
      </w:pPr>
      <w:r w:rsidRPr="0016302D">
        <w:rPr>
          <w:szCs w:val="24"/>
        </w:rPr>
        <w:t>T</w:t>
      </w:r>
      <w:r w:rsidR="007935C5" w:rsidRPr="0016302D">
        <w:rPr>
          <w:szCs w:val="24"/>
        </w:rPr>
        <w:t xml:space="preserve">he </w:t>
      </w:r>
      <w:r w:rsidRPr="0016302D">
        <w:rPr>
          <w:szCs w:val="24"/>
        </w:rPr>
        <w:t>2021-22 savings</w:t>
      </w:r>
      <w:r w:rsidR="007935C5" w:rsidRPr="0016302D">
        <w:rPr>
          <w:szCs w:val="24"/>
        </w:rPr>
        <w:t xml:space="preserve"> built into the MTFS</w:t>
      </w:r>
      <w:r w:rsidR="0018254B" w:rsidRPr="0016302D">
        <w:rPr>
          <w:szCs w:val="24"/>
        </w:rPr>
        <w:t xml:space="preserve"> total £3.</w:t>
      </w:r>
      <w:r w:rsidRPr="0016302D">
        <w:rPr>
          <w:szCs w:val="24"/>
        </w:rPr>
        <w:t>44</w:t>
      </w:r>
      <w:r w:rsidR="0018254B" w:rsidRPr="0016302D">
        <w:rPr>
          <w:szCs w:val="24"/>
        </w:rPr>
        <w:t xml:space="preserve">3m.  The </w:t>
      </w:r>
      <w:r w:rsidR="007935C5" w:rsidRPr="0016302D">
        <w:rPr>
          <w:szCs w:val="24"/>
        </w:rPr>
        <w:t xml:space="preserve">overall position is that </w:t>
      </w:r>
      <w:r w:rsidR="00822FA4" w:rsidRPr="0016302D">
        <w:rPr>
          <w:szCs w:val="24"/>
        </w:rPr>
        <w:t>3</w:t>
      </w:r>
      <w:r w:rsidRPr="0016302D">
        <w:rPr>
          <w:szCs w:val="24"/>
        </w:rPr>
        <w:t>5</w:t>
      </w:r>
      <w:r w:rsidR="007935C5" w:rsidRPr="0016302D">
        <w:rPr>
          <w:szCs w:val="24"/>
        </w:rPr>
        <w:t>%</w:t>
      </w:r>
      <w:r w:rsidRPr="0016302D">
        <w:rPr>
          <w:szCs w:val="24"/>
        </w:rPr>
        <w:t xml:space="preserve"> of savings were ranked</w:t>
      </w:r>
      <w:r w:rsidR="007935C5" w:rsidRPr="0016302D">
        <w:rPr>
          <w:szCs w:val="24"/>
        </w:rPr>
        <w:t xml:space="preserve"> red (Project may have started but will deliver no savings in the current financial year).</w:t>
      </w:r>
    </w:p>
    <w:p w14:paraId="4875A1EB" w14:textId="77777777" w:rsidR="007935C5" w:rsidRPr="00B37833" w:rsidRDefault="007935C5" w:rsidP="007935C5">
      <w:pPr>
        <w:tabs>
          <w:tab w:val="left" w:pos="7245"/>
        </w:tabs>
        <w:ind w:left="709"/>
        <w:jc w:val="both"/>
        <w:rPr>
          <w:color w:val="FF0000"/>
          <w:szCs w:val="24"/>
        </w:rPr>
      </w:pPr>
    </w:p>
    <w:p w14:paraId="72674893" w14:textId="4F9DB54F" w:rsidR="003B40B3" w:rsidRPr="00C8102B" w:rsidRDefault="003B40B3" w:rsidP="003B40B3">
      <w:pPr>
        <w:pStyle w:val="ListParagraph"/>
        <w:tabs>
          <w:tab w:val="left" w:pos="567"/>
        </w:tabs>
        <w:ind w:left="567" w:right="140"/>
        <w:contextualSpacing/>
        <w:jc w:val="both"/>
        <w:rPr>
          <w:rFonts w:cs="Arial"/>
          <w:szCs w:val="24"/>
        </w:rPr>
      </w:pPr>
      <w:r w:rsidRPr="00C8102B">
        <w:rPr>
          <w:rFonts w:cs="Arial"/>
          <w:bCs/>
          <w:szCs w:val="24"/>
        </w:rPr>
        <w:t>The final spend</w:t>
      </w:r>
      <w:r>
        <w:rPr>
          <w:rFonts w:cs="Arial"/>
          <w:bCs/>
          <w:szCs w:val="24"/>
        </w:rPr>
        <w:t xml:space="preserve"> on the Capital Programme</w:t>
      </w:r>
      <w:r w:rsidRPr="00C8102B">
        <w:rPr>
          <w:rFonts w:cs="Arial"/>
          <w:bCs/>
          <w:szCs w:val="24"/>
        </w:rPr>
        <w:t xml:space="preserve"> is £74.646m, 35% of the total budget. </w:t>
      </w:r>
    </w:p>
    <w:p w14:paraId="49425499" w14:textId="77777777" w:rsidR="0054590F" w:rsidRPr="00CC3A3C" w:rsidRDefault="0054590F" w:rsidP="00AF66F2">
      <w:pPr>
        <w:tabs>
          <w:tab w:val="left" w:pos="7245"/>
        </w:tabs>
        <w:jc w:val="both"/>
        <w:rPr>
          <w:szCs w:val="24"/>
        </w:rPr>
      </w:pPr>
    </w:p>
    <w:p w14:paraId="10B45FCE" w14:textId="7FDE0066" w:rsidR="00333FAA" w:rsidRPr="00CC3A3C" w:rsidRDefault="00BC74D1" w:rsidP="00AF66F2">
      <w:pPr>
        <w:pStyle w:val="Heading4"/>
        <w:jc w:val="both"/>
        <w:rPr>
          <w:szCs w:val="24"/>
        </w:rPr>
      </w:pPr>
      <w:r w:rsidRPr="00CC3A3C">
        <w:rPr>
          <w:b w:val="0"/>
          <w:szCs w:val="24"/>
        </w:rPr>
        <w:t>8</w:t>
      </w:r>
      <w:r w:rsidR="004C0103" w:rsidRPr="00CC3A3C">
        <w:rPr>
          <w:b w:val="0"/>
          <w:szCs w:val="24"/>
        </w:rPr>
        <w:t>.0</w:t>
      </w:r>
      <w:r w:rsidR="0008678F" w:rsidRPr="00CC3A3C">
        <w:rPr>
          <w:szCs w:val="24"/>
        </w:rPr>
        <w:t xml:space="preserve">    </w:t>
      </w:r>
      <w:r w:rsidR="00333FAA" w:rsidRPr="00CC3A3C">
        <w:rPr>
          <w:szCs w:val="24"/>
        </w:rPr>
        <w:t>Environmental Implications</w:t>
      </w:r>
    </w:p>
    <w:p w14:paraId="72CC1CBA" w14:textId="77777777" w:rsidR="000929A6" w:rsidRPr="00CC3A3C" w:rsidRDefault="000929A6" w:rsidP="00AF66F2">
      <w:pPr>
        <w:jc w:val="both"/>
        <w:rPr>
          <w:iCs/>
          <w:szCs w:val="24"/>
        </w:rPr>
      </w:pPr>
    </w:p>
    <w:p w14:paraId="1B7702EF" w14:textId="155FCDCF" w:rsidR="000929A6" w:rsidRPr="00CC3A3C" w:rsidRDefault="0008678F" w:rsidP="003634DA">
      <w:pPr>
        <w:jc w:val="both"/>
        <w:rPr>
          <w:szCs w:val="24"/>
        </w:rPr>
      </w:pPr>
      <w:r w:rsidRPr="00CC3A3C">
        <w:rPr>
          <w:szCs w:val="24"/>
        </w:rPr>
        <w:t xml:space="preserve">         </w:t>
      </w:r>
      <w:r w:rsidR="005641E0" w:rsidRPr="00CC3A3C">
        <w:rPr>
          <w:szCs w:val="24"/>
        </w:rPr>
        <w:t>There is no direct environmental impact.</w:t>
      </w:r>
    </w:p>
    <w:p w14:paraId="3FB84BF0" w14:textId="77777777" w:rsidR="00B1160D" w:rsidRPr="00CC3A3C" w:rsidRDefault="00B1160D" w:rsidP="00AF66F2">
      <w:pPr>
        <w:jc w:val="both"/>
        <w:rPr>
          <w:szCs w:val="24"/>
        </w:rPr>
      </w:pPr>
    </w:p>
    <w:p w14:paraId="45FE986E" w14:textId="02C23F98" w:rsidR="00A81E19" w:rsidRPr="00CC3A3C" w:rsidRDefault="00BC74D1" w:rsidP="00731669">
      <w:pPr>
        <w:pStyle w:val="Heading2"/>
        <w:ind w:left="567" w:hanging="567"/>
        <w:jc w:val="both"/>
        <w:rPr>
          <w:sz w:val="24"/>
          <w:szCs w:val="24"/>
        </w:rPr>
      </w:pPr>
      <w:r w:rsidRPr="00CC3A3C">
        <w:rPr>
          <w:b w:val="0"/>
          <w:sz w:val="24"/>
          <w:szCs w:val="24"/>
        </w:rPr>
        <w:t>9</w:t>
      </w:r>
      <w:r w:rsidR="004C0103" w:rsidRPr="00CC3A3C">
        <w:rPr>
          <w:b w:val="0"/>
          <w:sz w:val="24"/>
          <w:szCs w:val="24"/>
        </w:rPr>
        <w:t>.0</w:t>
      </w:r>
      <w:r w:rsidR="004C0103" w:rsidRPr="00CC3A3C">
        <w:rPr>
          <w:sz w:val="24"/>
          <w:szCs w:val="24"/>
        </w:rPr>
        <w:tab/>
      </w:r>
      <w:r w:rsidR="00A81E19" w:rsidRPr="00CC3A3C">
        <w:rPr>
          <w:sz w:val="24"/>
          <w:szCs w:val="24"/>
        </w:rPr>
        <w:t>Risk Management Implications</w:t>
      </w:r>
    </w:p>
    <w:p w14:paraId="532AA002" w14:textId="77777777" w:rsidR="00A81E19" w:rsidRPr="00CC3A3C" w:rsidRDefault="00A81E19" w:rsidP="00AF66F2">
      <w:pPr>
        <w:pStyle w:val="Heading4"/>
        <w:jc w:val="both"/>
        <w:rPr>
          <w:b w:val="0"/>
          <w:szCs w:val="24"/>
        </w:rPr>
      </w:pPr>
    </w:p>
    <w:p w14:paraId="6FF7070B" w14:textId="77777777" w:rsidR="009C523F" w:rsidRPr="00CC3A3C" w:rsidRDefault="009C523F" w:rsidP="009C523F">
      <w:pPr>
        <w:tabs>
          <w:tab w:val="left" w:pos="5610"/>
        </w:tabs>
        <w:ind w:left="567" w:right="81"/>
      </w:pPr>
      <w:r w:rsidRPr="00CC3A3C">
        <w:rPr>
          <w:rFonts w:cs="Arial"/>
          <w:szCs w:val="24"/>
          <w:lang w:val="en-US"/>
        </w:rPr>
        <w:t xml:space="preserve">Risks included on corporate or directorate risk register? </w:t>
      </w:r>
      <w:r w:rsidRPr="00CC3A3C">
        <w:rPr>
          <w:rFonts w:cs="Arial"/>
          <w:b/>
          <w:bCs/>
          <w:szCs w:val="24"/>
          <w:lang w:val="en-US"/>
        </w:rPr>
        <w:t>Yes</w:t>
      </w:r>
    </w:p>
    <w:p w14:paraId="72D63551"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  </w:t>
      </w:r>
    </w:p>
    <w:p w14:paraId="1EC85C3D"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Separate risk register in place? </w:t>
      </w:r>
      <w:r w:rsidRPr="00CC3A3C">
        <w:rPr>
          <w:rFonts w:cs="Arial"/>
          <w:b/>
          <w:bCs/>
          <w:szCs w:val="24"/>
          <w:lang w:val="en-US" w:eastAsia="en-GB"/>
        </w:rPr>
        <w:t>No</w:t>
      </w:r>
    </w:p>
    <w:p w14:paraId="078754B9" w14:textId="77777777" w:rsidR="009C523F" w:rsidRPr="00CC3A3C" w:rsidRDefault="009C523F" w:rsidP="009C523F">
      <w:pPr>
        <w:tabs>
          <w:tab w:val="left" w:pos="5610"/>
        </w:tabs>
        <w:ind w:left="567" w:right="81"/>
      </w:pPr>
    </w:p>
    <w:p w14:paraId="6DC9F866" w14:textId="77777777" w:rsidR="009C523F" w:rsidRPr="00CC3A3C" w:rsidRDefault="009C523F" w:rsidP="009C523F">
      <w:pPr>
        <w:tabs>
          <w:tab w:val="left" w:pos="5610"/>
        </w:tabs>
        <w:ind w:left="567" w:right="81"/>
      </w:pPr>
      <w:r w:rsidRPr="00CC3A3C">
        <w:t xml:space="preserve">The relevant risks contained in the register are attached/summarised below. </w:t>
      </w:r>
      <w:r w:rsidRPr="00CC3A3C">
        <w:rPr>
          <w:rFonts w:cs="Arial"/>
          <w:b/>
          <w:bCs/>
          <w:szCs w:val="24"/>
          <w:lang w:val="en-US" w:eastAsia="en-GB"/>
        </w:rPr>
        <w:t>Yes</w:t>
      </w:r>
    </w:p>
    <w:p w14:paraId="2A54CBCB" w14:textId="77777777" w:rsidR="009C523F" w:rsidRPr="00CC3A3C" w:rsidRDefault="009C523F" w:rsidP="009C523F">
      <w:pPr>
        <w:ind w:left="-567"/>
      </w:pPr>
    </w:p>
    <w:p w14:paraId="121AF0C5" w14:textId="77777777" w:rsidR="009C523F" w:rsidRPr="00CC3A3C" w:rsidRDefault="009C523F" w:rsidP="009C523F">
      <w:pPr>
        <w:ind w:left="567"/>
        <w:jc w:val="both"/>
      </w:pPr>
      <w:r w:rsidRPr="00CC3A3C">
        <w:t>The following key risks should be taken onto account when agreeing the recommendations in this report:</w:t>
      </w:r>
    </w:p>
    <w:p w14:paraId="2E93725F" w14:textId="77777777" w:rsidR="009C523F" w:rsidRPr="00B37833" w:rsidRDefault="009C523F" w:rsidP="009C523F">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B37833" w:rsidRPr="00B37833"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CC3A3C" w:rsidRDefault="009C523F" w:rsidP="009C523F">
            <w:pPr>
              <w:ind w:left="34" w:right="141"/>
              <w:rPr>
                <w:rFonts w:cs="Arial"/>
                <w:b/>
                <w:bCs/>
                <w:sz w:val="20"/>
                <w:lang w:val="en-US" w:eastAsia="en-GB"/>
              </w:rPr>
            </w:pPr>
            <w:r w:rsidRPr="00CC3A3C">
              <w:rPr>
                <w:rFonts w:cs="Arial"/>
                <w:b/>
                <w:bCs/>
                <w:sz w:val="20"/>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CC3A3C" w:rsidRDefault="009C523F" w:rsidP="009C523F">
            <w:pPr>
              <w:ind w:right="141" w:hanging="2"/>
              <w:rPr>
                <w:rFonts w:cs="Arial"/>
                <w:b/>
                <w:bCs/>
                <w:sz w:val="20"/>
                <w:lang w:val="en-US" w:eastAsia="en-GB"/>
              </w:rPr>
            </w:pPr>
            <w:r w:rsidRPr="00CC3A3C">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Pr="00CC3A3C" w:rsidRDefault="009C523F" w:rsidP="009C523F">
            <w:pPr>
              <w:ind w:left="567" w:right="141"/>
              <w:jc w:val="center"/>
              <w:rPr>
                <w:rFonts w:cs="Arial"/>
                <w:b/>
                <w:bCs/>
                <w:sz w:val="20"/>
                <w:lang w:val="en-US" w:eastAsia="en-GB"/>
              </w:rPr>
            </w:pPr>
            <w:r w:rsidRPr="00CC3A3C">
              <w:rPr>
                <w:rFonts w:cs="Arial"/>
                <w:b/>
                <w:bCs/>
                <w:sz w:val="20"/>
                <w:lang w:val="en-US" w:eastAsia="en-GB"/>
              </w:rPr>
              <w:t xml:space="preserve">RAG Status </w:t>
            </w:r>
          </w:p>
        </w:tc>
      </w:tr>
      <w:tr w:rsidR="00CC3A3C" w:rsidRPr="00CC3A3C" w14:paraId="4729F417"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94AA" w14:textId="15804660" w:rsidR="009C523F" w:rsidRPr="00CC3A3C" w:rsidRDefault="009C523F" w:rsidP="009C523F">
            <w:pPr>
              <w:ind w:left="34" w:right="141"/>
              <w:rPr>
                <w:rFonts w:cs="Arial"/>
                <w:sz w:val="20"/>
                <w:lang w:val="en-US" w:eastAsia="en-GB"/>
              </w:rPr>
            </w:pPr>
            <w:r w:rsidRPr="00CC3A3C">
              <w:rPr>
                <w:rFonts w:cs="Arial"/>
                <w:sz w:val="20"/>
                <w:lang w:val="en-US" w:eastAsia="en-GB"/>
              </w:rPr>
              <w:t>Additions to the capital programme</w:t>
            </w:r>
            <w:r w:rsidR="00BB4188" w:rsidRPr="00CC3A3C">
              <w:rPr>
                <w:rFonts w:cs="Arial"/>
                <w:sz w:val="20"/>
                <w:lang w:val="en-US" w:eastAsia="en-GB"/>
              </w:rPr>
              <w:t xml:space="preserve"> that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D0D41" w14:textId="7EBFEA41" w:rsidR="009C523F" w:rsidRPr="00CC3A3C" w:rsidRDefault="009C523F"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 xml:space="preserve">Funded by additional grants and </w:t>
            </w:r>
            <w:r w:rsidR="00F52080" w:rsidRPr="00CC3A3C">
              <w:rPr>
                <w:rFonts w:cs="Arial"/>
                <w:sz w:val="20"/>
                <w:lang w:val="en-US" w:eastAsia="en-GB"/>
              </w:rPr>
              <w:t>contributions</w:t>
            </w:r>
            <w:r w:rsidRPr="00CC3A3C">
              <w:rPr>
                <w:rFonts w:cs="Arial"/>
                <w:sz w:val="20"/>
                <w:lang w:val="en-US" w:eastAsia="en-GB"/>
              </w:rPr>
              <w:t xml:space="preserve"> thus no additional capital financing costs will be incurred</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8F26C1A" w14:textId="77777777" w:rsidR="009C523F" w:rsidRPr="00CC3A3C" w:rsidRDefault="009C523F" w:rsidP="009C523F">
            <w:pPr>
              <w:ind w:left="567" w:right="141"/>
              <w:rPr>
                <w:rFonts w:cs="Arial"/>
                <w:sz w:val="20"/>
                <w:lang w:val="en-US" w:eastAsia="en-GB"/>
              </w:rPr>
            </w:pPr>
            <w:r w:rsidRPr="00CC3A3C">
              <w:rPr>
                <w:rFonts w:cs="Arial"/>
                <w:sz w:val="20"/>
                <w:lang w:val="en-US" w:eastAsia="en-GB"/>
              </w:rPr>
              <w:t>Green</w:t>
            </w:r>
          </w:p>
        </w:tc>
      </w:tr>
      <w:tr w:rsidR="00CC3A3C" w:rsidRPr="00CC3A3C" w14:paraId="42081C92"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FD9C" w14:textId="38DC6D92" w:rsidR="009C523F" w:rsidRPr="00CC3A3C" w:rsidRDefault="00CC3A3C" w:rsidP="009C523F">
            <w:pPr>
              <w:ind w:left="34" w:right="141"/>
              <w:rPr>
                <w:rFonts w:cs="Arial"/>
                <w:sz w:val="20"/>
                <w:lang w:val="en-US" w:eastAsia="en-GB"/>
              </w:rPr>
            </w:pPr>
            <w:r w:rsidRPr="00CC3A3C">
              <w:rPr>
                <w:rFonts w:cs="Arial"/>
                <w:sz w:val="20"/>
                <w:lang w:val="en-US" w:eastAsia="en-GB"/>
              </w:rPr>
              <w:t>Failure to deliver the budget on target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D188F" w14:textId="3C2ABF1F" w:rsidR="009C523F" w:rsidRPr="00CC3A3C" w:rsidRDefault="00CC3A3C"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The final outturn is a balanced budget</w:t>
            </w:r>
            <w:r w:rsidR="00725DAB" w:rsidRPr="00CC3A3C">
              <w:rPr>
                <w:rFonts w:cs="Arial"/>
                <w:sz w:val="20"/>
                <w:lang w:val="en-US" w:eastAsia="en-GB"/>
              </w:rP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70410E0" w14:textId="58B7D15A" w:rsidR="009C523F" w:rsidRPr="00CC3A3C" w:rsidRDefault="009D164A" w:rsidP="009C523F">
            <w:pPr>
              <w:ind w:left="567" w:right="141"/>
              <w:rPr>
                <w:rFonts w:cs="Arial"/>
                <w:sz w:val="20"/>
                <w:lang w:val="en-US" w:eastAsia="en-GB"/>
              </w:rPr>
            </w:pPr>
            <w:r w:rsidRPr="00CC3A3C">
              <w:rPr>
                <w:rFonts w:cs="Arial"/>
                <w:sz w:val="20"/>
                <w:lang w:val="en-US" w:eastAsia="en-GB"/>
              </w:rPr>
              <w:t>Green</w:t>
            </w:r>
          </w:p>
        </w:tc>
      </w:tr>
      <w:tr w:rsidR="00CC3A3C" w:rsidRPr="00CC3A3C" w14:paraId="0EEAF6B9"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D680" w14:textId="4FCBD3F7" w:rsidR="004A72AA" w:rsidRPr="00CC3A3C" w:rsidRDefault="00CC3A3C" w:rsidP="009C523F">
            <w:pPr>
              <w:ind w:left="34" w:right="141"/>
              <w:rPr>
                <w:rFonts w:cs="Arial"/>
                <w:sz w:val="20"/>
                <w:lang w:val="en-US" w:eastAsia="en-GB"/>
              </w:rPr>
            </w:pPr>
            <w:r w:rsidRPr="00CC3A3C">
              <w:rPr>
                <w:rFonts w:cs="Arial"/>
                <w:sz w:val="20"/>
                <w:lang w:val="en-US" w:eastAsia="en-GB"/>
              </w:rPr>
              <w:t>Trading companies’ failure to deliver required contribution to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E2AC" w14:textId="77777777" w:rsidR="004A72AA" w:rsidRPr="00CC3A3C" w:rsidRDefault="00CC3A3C"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Income target reprofiled over four years rather than three</w:t>
            </w:r>
          </w:p>
          <w:p w14:paraId="53E99BBC" w14:textId="77777777" w:rsidR="00CC3A3C" w:rsidRPr="00CC3A3C" w:rsidRDefault="00CC3A3C"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Impact of reprofiling on 2021-22 budget is already assumed in the overall outturn</w:t>
            </w:r>
          </w:p>
          <w:p w14:paraId="340AD2BD" w14:textId="77777777" w:rsidR="00CC3A3C" w:rsidRPr="00CC3A3C" w:rsidRDefault="00CC3A3C"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Quarterly stakeholder groups</w:t>
            </w:r>
          </w:p>
          <w:p w14:paraId="4DC591E4" w14:textId="33CE7525" w:rsidR="00CC3A3C" w:rsidRPr="00CC3A3C" w:rsidRDefault="00CC3A3C" w:rsidP="007A4D31">
            <w:pPr>
              <w:pStyle w:val="ListParagraph"/>
              <w:numPr>
                <w:ilvl w:val="0"/>
                <w:numId w:val="15"/>
              </w:numPr>
              <w:suppressAutoHyphens/>
              <w:autoSpaceDN w:val="0"/>
              <w:ind w:left="0" w:right="141" w:firstLine="423"/>
              <w:textAlignment w:val="baseline"/>
              <w:rPr>
                <w:rFonts w:cs="Arial"/>
                <w:sz w:val="20"/>
                <w:lang w:val="en-US" w:eastAsia="en-GB"/>
              </w:rPr>
            </w:pPr>
            <w:r w:rsidRPr="00CC3A3C">
              <w:rPr>
                <w:rFonts w:cs="Arial"/>
                <w:sz w:val="20"/>
                <w:lang w:val="en-US" w:eastAsia="en-GB"/>
              </w:rPr>
              <w:t>Review of financial and non-financial performance information</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F7AA3CF" w14:textId="01E368E8" w:rsidR="004A72AA" w:rsidRPr="00CC3A3C" w:rsidRDefault="009D164A" w:rsidP="009C523F">
            <w:pPr>
              <w:ind w:left="567" w:right="141"/>
              <w:rPr>
                <w:rFonts w:cs="Arial"/>
                <w:sz w:val="20"/>
                <w:lang w:val="en-US" w:eastAsia="en-GB"/>
              </w:rPr>
            </w:pPr>
            <w:r w:rsidRPr="00CC3A3C">
              <w:rPr>
                <w:rFonts w:cs="Arial"/>
                <w:sz w:val="20"/>
                <w:lang w:val="en-US" w:eastAsia="en-GB"/>
              </w:rPr>
              <w:t>Green</w:t>
            </w:r>
          </w:p>
        </w:tc>
      </w:tr>
    </w:tbl>
    <w:p w14:paraId="0AE9056F" w14:textId="13C00067" w:rsidR="009C523F" w:rsidRDefault="009C523F" w:rsidP="00731669">
      <w:pPr>
        <w:ind w:left="567"/>
        <w:jc w:val="both"/>
        <w:rPr>
          <w:szCs w:val="24"/>
          <w:lang w:val="en-US"/>
        </w:rPr>
      </w:pPr>
    </w:p>
    <w:p w14:paraId="3A64D6CD" w14:textId="710E6B54" w:rsidR="002A3FEF" w:rsidRPr="00CC3A3C" w:rsidRDefault="00BC74D1" w:rsidP="00731669">
      <w:pPr>
        <w:pStyle w:val="Heading2"/>
        <w:tabs>
          <w:tab w:val="left" w:pos="567"/>
        </w:tabs>
        <w:jc w:val="both"/>
        <w:rPr>
          <w:sz w:val="24"/>
          <w:szCs w:val="24"/>
        </w:rPr>
      </w:pPr>
      <w:r w:rsidRPr="00CC3A3C">
        <w:rPr>
          <w:b w:val="0"/>
          <w:sz w:val="24"/>
          <w:szCs w:val="24"/>
        </w:rPr>
        <w:t>10</w:t>
      </w:r>
      <w:r w:rsidR="004C0103" w:rsidRPr="00CC3A3C">
        <w:rPr>
          <w:b w:val="0"/>
          <w:sz w:val="24"/>
          <w:szCs w:val="24"/>
        </w:rPr>
        <w:t>.0</w:t>
      </w:r>
      <w:r w:rsidR="004C0103" w:rsidRPr="00CC3A3C">
        <w:rPr>
          <w:sz w:val="24"/>
          <w:szCs w:val="24"/>
        </w:rPr>
        <w:tab/>
      </w:r>
      <w:r w:rsidR="002A3FEF" w:rsidRPr="00CC3A3C">
        <w:rPr>
          <w:sz w:val="24"/>
          <w:szCs w:val="24"/>
        </w:rPr>
        <w:t xml:space="preserve">Procurement Implications </w:t>
      </w:r>
    </w:p>
    <w:p w14:paraId="49913689" w14:textId="77777777" w:rsidR="005641E0" w:rsidRPr="00CC3A3C" w:rsidRDefault="005641E0" w:rsidP="00731669">
      <w:pPr>
        <w:tabs>
          <w:tab w:val="left" w:pos="567"/>
        </w:tabs>
        <w:jc w:val="both"/>
        <w:rPr>
          <w:szCs w:val="24"/>
        </w:rPr>
      </w:pPr>
    </w:p>
    <w:p w14:paraId="62E60B38" w14:textId="2393544B" w:rsidR="002A3FEF" w:rsidRPr="00CC3A3C" w:rsidRDefault="00CC3A3C" w:rsidP="00731669">
      <w:pPr>
        <w:tabs>
          <w:tab w:val="left" w:pos="567"/>
        </w:tabs>
        <w:ind w:left="567"/>
        <w:jc w:val="both"/>
        <w:rPr>
          <w:szCs w:val="24"/>
        </w:rPr>
      </w:pPr>
      <w:r w:rsidRPr="00CC3A3C">
        <w:rPr>
          <w:szCs w:val="24"/>
        </w:rPr>
        <w:t>Any procurement arising from this report will be supported by the Procurement Team and will be undertaken compliant with the Public Contract Regulations 2015 and the Council’s Contract Procedure Rules.</w:t>
      </w:r>
    </w:p>
    <w:p w14:paraId="2E49614D" w14:textId="56EFE7CA" w:rsidR="002A3FEF" w:rsidRDefault="002A3FEF" w:rsidP="00AF66F2">
      <w:pPr>
        <w:pStyle w:val="Heading2"/>
        <w:jc w:val="both"/>
        <w:rPr>
          <w:sz w:val="24"/>
          <w:szCs w:val="24"/>
        </w:rPr>
      </w:pPr>
    </w:p>
    <w:p w14:paraId="4C9C2040" w14:textId="1C8E185C" w:rsidR="00EF5843" w:rsidRDefault="00EF5843" w:rsidP="00EF5843"/>
    <w:p w14:paraId="1249447C" w14:textId="77777777" w:rsidR="00EF5843" w:rsidRPr="00EF5843" w:rsidRDefault="00EF5843" w:rsidP="00EF5843"/>
    <w:p w14:paraId="7125A913" w14:textId="39F068C4" w:rsidR="005641E0" w:rsidRPr="00CC3A3C" w:rsidRDefault="000058C5" w:rsidP="00EF5843">
      <w:pPr>
        <w:pStyle w:val="Heading2"/>
        <w:ind w:left="567" w:hanging="567"/>
        <w:jc w:val="both"/>
        <w:rPr>
          <w:szCs w:val="24"/>
        </w:rPr>
      </w:pPr>
      <w:r w:rsidRPr="00CC3A3C">
        <w:rPr>
          <w:b w:val="0"/>
          <w:sz w:val="24"/>
          <w:szCs w:val="24"/>
        </w:rPr>
        <w:t>1</w:t>
      </w:r>
      <w:r w:rsidR="00BC74D1" w:rsidRPr="00CC3A3C">
        <w:rPr>
          <w:b w:val="0"/>
          <w:sz w:val="24"/>
          <w:szCs w:val="24"/>
        </w:rPr>
        <w:t>1</w:t>
      </w:r>
      <w:r w:rsidR="00E269CF" w:rsidRPr="00CC3A3C">
        <w:rPr>
          <w:b w:val="0"/>
          <w:sz w:val="24"/>
          <w:szCs w:val="24"/>
        </w:rPr>
        <w:t>.0</w:t>
      </w:r>
      <w:r w:rsidR="00E269CF" w:rsidRPr="00CC3A3C">
        <w:rPr>
          <w:sz w:val="24"/>
          <w:szCs w:val="24"/>
        </w:rPr>
        <w:tab/>
      </w:r>
      <w:r w:rsidR="00333FAA" w:rsidRPr="00CC3A3C">
        <w:rPr>
          <w:sz w:val="24"/>
          <w:szCs w:val="24"/>
        </w:rPr>
        <w:t>Legal Implications</w:t>
      </w:r>
    </w:p>
    <w:p w14:paraId="4CD42740" w14:textId="246F4F28" w:rsidR="005641E0" w:rsidRPr="00CC3A3C" w:rsidRDefault="005641E0" w:rsidP="00731669">
      <w:pPr>
        <w:ind w:left="567"/>
        <w:jc w:val="both"/>
        <w:rPr>
          <w:szCs w:val="24"/>
        </w:rPr>
      </w:pPr>
      <w:r w:rsidRPr="00CC3A3C">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5D3C79B0" w14:textId="74152BB4" w:rsidR="00E81EEA" w:rsidRPr="00CC3A3C" w:rsidRDefault="00E81EEA" w:rsidP="00731669">
      <w:pPr>
        <w:ind w:left="567"/>
        <w:jc w:val="both"/>
        <w:rPr>
          <w:szCs w:val="24"/>
        </w:rPr>
      </w:pPr>
    </w:p>
    <w:p w14:paraId="6B3A7F44" w14:textId="47961530" w:rsidR="00E81EEA" w:rsidRPr="00CC3A3C" w:rsidRDefault="003001F1" w:rsidP="00731669">
      <w:pPr>
        <w:ind w:left="567"/>
        <w:jc w:val="both"/>
        <w:rPr>
          <w:szCs w:val="24"/>
        </w:rPr>
      </w:pPr>
      <w:r w:rsidRPr="00CC3A3C">
        <w:rPr>
          <w:szCs w:val="24"/>
        </w:rPr>
        <w:t xml:space="preserve">Additions to the Capital Programme are dealt with in B48 of the Financial Regulations, the additions above are within  the thresholds allowed for Cabinet. </w:t>
      </w:r>
    </w:p>
    <w:p w14:paraId="01F2AAEE" w14:textId="77777777" w:rsidR="005641E0" w:rsidRPr="00CC3A3C" w:rsidRDefault="005641E0" w:rsidP="00731669">
      <w:pPr>
        <w:ind w:left="567"/>
        <w:jc w:val="both"/>
        <w:rPr>
          <w:b/>
          <w:szCs w:val="24"/>
        </w:rPr>
      </w:pPr>
    </w:p>
    <w:p w14:paraId="1222B777" w14:textId="3BB3A419" w:rsidR="0054590F" w:rsidRPr="00CC3A3C" w:rsidRDefault="00E269CF" w:rsidP="00731669">
      <w:pPr>
        <w:pStyle w:val="Heading2"/>
        <w:ind w:left="567" w:hanging="567"/>
        <w:jc w:val="both"/>
        <w:rPr>
          <w:sz w:val="24"/>
          <w:szCs w:val="24"/>
        </w:rPr>
      </w:pPr>
      <w:r w:rsidRPr="00CC3A3C">
        <w:rPr>
          <w:b w:val="0"/>
          <w:sz w:val="24"/>
          <w:szCs w:val="24"/>
        </w:rPr>
        <w:t>1</w:t>
      </w:r>
      <w:r w:rsidR="00BC74D1" w:rsidRPr="00CC3A3C">
        <w:rPr>
          <w:b w:val="0"/>
          <w:sz w:val="24"/>
          <w:szCs w:val="24"/>
        </w:rPr>
        <w:t>2</w:t>
      </w:r>
      <w:r w:rsidRPr="00CC3A3C">
        <w:rPr>
          <w:b w:val="0"/>
          <w:sz w:val="24"/>
          <w:szCs w:val="24"/>
        </w:rPr>
        <w:t>.0</w:t>
      </w:r>
      <w:r w:rsidRPr="00CC3A3C">
        <w:rPr>
          <w:sz w:val="24"/>
          <w:szCs w:val="24"/>
        </w:rPr>
        <w:tab/>
      </w:r>
      <w:r w:rsidR="00333FAA" w:rsidRPr="00CC3A3C">
        <w:rPr>
          <w:sz w:val="24"/>
          <w:szCs w:val="24"/>
        </w:rPr>
        <w:t>Financial Implications</w:t>
      </w:r>
    </w:p>
    <w:p w14:paraId="58E51DB5" w14:textId="77777777" w:rsidR="0054590F" w:rsidRPr="00CC3A3C" w:rsidRDefault="00E269CF" w:rsidP="00731669">
      <w:pPr>
        <w:tabs>
          <w:tab w:val="left" w:pos="709"/>
        </w:tabs>
        <w:ind w:left="567" w:hanging="567"/>
        <w:jc w:val="both"/>
        <w:rPr>
          <w:szCs w:val="24"/>
        </w:rPr>
      </w:pPr>
      <w:r w:rsidRPr="00CC3A3C">
        <w:rPr>
          <w:szCs w:val="24"/>
        </w:rPr>
        <w:tab/>
      </w:r>
      <w:r w:rsidR="005641E0" w:rsidRPr="00CC3A3C">
        <w:rPr>
          <w:szCs w:val="24"/>
        </w:rPr>
        <w:t>Financial matters are integral to this report.</w:t>
      </w:r>
    </w:p>
    <w:p w14:paraId="68B17B8C" w14:textId="77777777" w:rsidR="001C7E35" w:rsidRPr="00CC3A3C" w:rsidRDefault="001C7E35" w:rsidP="00AF66F2">
      <w:pPr>
        <w:pStyle w:val="Heading2"/>
        <w:jc w:val="both"/>
        <w:rPr>
          <w:sz w:val="24"/>
          <w:szCs w:val="24"/>
        </w:rPr>
      </w:pPr>
    </w:p>
    <w:p w14:paraId="7BDD9F0B" w14:textId="42F58AC2" w:rsidR="00333FAA" w:rsidRPr="00CC3A3C" w:rsidRDefault="00E269CF" w:rsidP="00731669">
      <w:pPr>
        <w:pStyle w:val="Heading2"/>
        <w:keepNext/>
        <w:ind w:left="567" w:hanging="567"/>
        <w:jc w:val="both"/>
        <w:rPr>
          <w:sz w:val="24"/>
          <w:szCs w:val="24"/>
        </w:rPr>
      </w:pPr>
      <w:r w:rsidRPr="00CC3A3C">
        <w:rPr>
          <w:b w:val="0"/>
          <w:sz w:val="24"/>
          <w:szCs w:val="24"/>
        </w:rPr>
        <w:t>1</w:t>
      </w:r>
      <w:r w:rsidR="00BC74D1" w:rsidRPr="00CC3A3C">
        <w:rPr>
          <w:b w:val="0"/>
          <w:sz w:val="24"/>
          <w:szCs w:val="24"/>
        </w:rPr>
        <w:t>3.</w:t>
      </w:r>
      <w:r w:rsidRPr="00CC3A3C">
        <w:rPr>
          <w:b w:val="0"/>
          <w:sz w:val="24"/>
          <w:szCs w:val="24"/>
        </w:rPr>
        <w:t>0</w:t>
      </w:r>
      <w:r w:rsidRPr="00CC3A3C">
        <w:rPr>
          <w:sz w:val="24"/>
          <w:szCs w:val="24"/>
        </w:rPr>
        <w:tab/>
      </w:r>
      <w:r w:rsidR="00333FAA" w:rsidRPr="00CC3A3C">
        <w:rPr>
          <w:sz w:val="24"/>
          <w:szCs w:val="24"/>
        </w:rPr>
        <w:t>Equalities implications</w:t>
      </w:r>
      <w:r w:rsidR="001C7E35" w:rsidRPr="00CC3A3C">
        <w:rPr>
          <w:sz w:val="24"/>
          <w:szCs w:val="24"/>
        </w:rPr>
        <w:t xml:space="preserve"> </w:t>
      </w:r>
      <w:r w:rsidR="00333FAA" w:rsidRPr="00CC3A3C">
        <w:rPr>
          <w:sz w:val="24"/>
          <w:szCs w:val="24"/>
        </w:rPr>
        <w:t>/</w:t>
      </w:r>
      <w:r w:rsidR="001C7E35" w:rsidRPr="00CC3A3C">
        <w:rPr>
          <w:sz w:val="24"/>
          <w:szCs w:val="24"/>
        </w:rPr>
        <w:t xml:space="preserve"> </w:t>
      </w:r>
      <w:r w:rsidR="00333FAA" w:rsidRPr="00CC3A3C">
        <w:rPr>
          <w:sz w:val="24"/>
          <w:szCs w:val="24"/>
        </w:rPr>
        <w:t>Public Sector Equality Duty</w:t>
      </w:r>
    </w:p>
    <w:p w14:paraId="2187A39A" w14:textId="77777777" w:rsidR="00990FE6" w:rsidRPr="00CC3A3C" w:rsidRDefault="00990FE6" w:rsidP="00731669">
      <w:pPr>
        <w:ind w:left="567" w:hanging="567"/>
      </w:pPr>
    </w:p>
    <w:p w14:paraId="5D5B50CF" w14:textId="57C911F4" w:rsidR="00731669" w:rsidRPr="00CC3A3C" w:rsidRDefault="00731669" w:rsidP="00731669">
      <w:pPr>
        <w:ind w:left="567" w:hanging="567"/>
      </w:pPr>
      <w:r w:rsidRPr="00CC3A3C">
        <w:t xml:space="preserve">13.1 </w:t>
      </w:r>
      <w:r w:rsidR="00990FE6" w:rsidRPr="00CC3A3C">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w:t>
      </w:r>
      <w:r w:rsidR="00C75F94" w:rsidRPr="00CC3A3C">
        <w:t xml:space="preserve">ede </w:t>
      </w:r>
      <w:r w:rsidR="00990FE6" w:rsidRPr="00CC3A3C">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CC3A3C" w:rsidRDefault="00731669" w:rsidP="00731669">
      <w:pPr>
        <w:ind w:left="567" w:hanging="567"/>
      </w:pPr>
    </w:p>
    <w:p w14:paraId="7B11E615" w14:textId="1589DE9E" w:rsidR="00990FE6" w:rsidRPr="00CC3A3C" w:rsidRDefault="00731669" w:rsidP="00731669">
      <w:pPr>
        <w:ind w:left="567" w:hanging="567"/>
      </w:pPr>
      <w:r w:rsidRPr="00CC3A3C">
        <w:t xml:space="preserve">13.2 </w:t>
      </w:r>
      <w:r w:rsidR="00990FE6" w:rsidRPr="00CC3A3C">
        <w:t>A public authority must, in the exercise of its functions, have due regard to the need to:</w:t>
      </w:r>
    </w:p>
    <w:p w14:paraId="568C4E6B" w14:textId="77777777" w:rsidR="00F17392" w:rsidRPr="00CC3A3C" w:rsidRDefault="00F17392" w:rsidP="00F17392">
      <w:pPr>
        <w:ind w:left="709"/>
      </w:pPr>
    </w:p>
    <w:p w14:paraId="78B4BCD2" w14:textId="10DBA6BF" w:rsidR="00990FE6" w:rsidRPr="00CC3A3C" w:rsidRDefault="00990FE6" w:rsidP="007A4D31">
      <w:pPr>
        <w:pStyle w:val="ListParagraph"/>
        <w:numPr>
          <w:ilvl w:val="0"/>
          <w:numId w:val="7"/>
        </w:numPr>
      </w:pPr>
      <w:r w:rsidRPr="00CC3A3C">
        <w:t>eliminate discrimination, harassment, victimisation and any other conduct that is prohibited by or under this Act;</w:t>
      </w:r>
    </w:p>
    <w:p w14:paraId="48BCB49B" w14:textId="1A723A80" w:rsidR="00990FE6" w:rsidRPr="00CC3A3C" w:rsidRDefault="00990FE6" w:rsidP="007A4D31">
      <w:pPr>
        <w:pStyle w:val="ListParagraph"/>
        <w:numPr>
          <w:ilvl w:val="0"/>
          <w:numId w:val="7"/>
        </w:numPr>
      </w:pPr>
      <w:r w:rsidRPr="00CC3A3C">
        <w:t>advance equality of opportunity between persons who share a relevant protected characteristic and persons who do not share it;</w:t>
      </w:r>
    </w:p>
    <w:p w14:paraId="0A6982F1" w14:textId="2B3AFF97" w:rsidR="00990FE6" w:rsidRPr="00CC3A3C" w:rsidRDefault="00990FE6" w:rsidP="007A4D31">
      <w:pPr>
        <w:pStyle w:val="ListParagraph"/>
        <w:numPr>
          <w:ilvl w:val="0"/>
          <w:numId w:val="7"/>
        </w:numPr>
      </w:pPr>
      <w:r w:rsidRPr="00CC3A3C">
        <w:t>Foster good relations between persons who share a relevant protected characteristic and persons who do not share it.</w:t>
      </w:r>
    </w:p>
    <w:p w14:paraId="39FA844C" w14:textId="77777777" w:rsidR="00560DEF" w:rsidRPr="00CC3A3C" w:rsidRDefault="00560DEF" w:rsidP="009B2C8F">
      <w:pPr>
        <w:pStyle w:val="ListParagraph"/>
        <w:ind w:left="1429"/>
      </w:pPr>
    </w:p>
    <w:p w14:paraId="0CD108DB" w14:textId="2B8AC1F7" w:rsidR="00990FE6" w:rsidRPr="00CC3A3C" w:rsidRDefault="00731669" w:rsidP="00731669">
      <w:pPr>
        <w:ind w:left="720" w:hanging="720"/>
      </w:pPr>
      <w:r w:rsidRPr="00CC3A3C">
        <w:t>13.2</w:t>
      </w:r>
      <w:r w:rsidRPr="00CC3A3C">
        <w:tab/>
      </w:r>
      <w:r w:rsidR="00990FE6" w:rsidRPr="00CC3A3C">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CC3A3C" w:rsidRDefault="00560DEF" w:rsidP="00F17392">
      <w:pPr>
        <w:ind w:left="709"/>
      </w:pPr>
    </w:p>
    <w:p w14:paraId="4A4D80F7" w14:textId="116C1B73" w:rsidR="00990FE6" w:rsidRPr="00CC3A3C" w:rsidRDefault="00990FE6" w:rsidP="007A4D31">
      <w:pPr>
        <w:pStyle w:val="ListParagraph"/>
        <w:numPr>
          <w:ilvl w:val="0"/>
          <w:numId w:val="8"/>
        </w:numPr>
      </w:pPr>
      <w:r w:rsidRPr="00CC3A3C">
        <w:lastRenderedPageBreak/>
        <w:t>remove or minimise disadvantages suffered by persons who share a relevant protected characteristic that are connected to that characteristic;</w:t>
      </w:r>
    </w:p>
    <w:p w14:paraId="1A59618B" w14:textId="7B65CB36" w:rsidR="00990FE6" w:rsidRPr="00CC3A3C" w:rsidRDefault="00990FE6" w:rsidP="007A4D31">
      <w:pPr>
        <w:pStyle w:val="ListParagraph"/>
        <w:numPr>
          <w:ilvl w:val="0"/>
          <w:numId w:val="8"/>
        </w:numPr>
      </w:pPr>
      <w:r w:rsidRPr="00CC3A3C">
        <w:t>take steps to meet the needs of persons who share a relevant protected characteristic that are different from the needs of persons who do not share it;</w:t>
      </w:r>
    </w:p>
    <w:p w14:paraId="71FFD4DB" w14:textId="0B31DEEA" w:rsidR="00990FE6" w:rsidRPr="00CC3A3C" w:rsidRDefault="00990FE6" w:rsidP="007A4D31">
      <w:pPr>
        <w:pStyle w:val="ListParagraph"/>
        <w:numPr>
          <w:ilvl w:val="0"/>
          <w:numId w:val="8"/>
        </w:numPr>
      </w:pPr>
      <w:r w:rsidRPr="00CC3A3C">
        <w:t>Encourage persons who share a relevant protected characteristic to participate in public life or in any other activity in which participation by such persons is disproportionately low.</w:t>
      </w:r>
    </w:p>
    <w:p w14:paraId="7E95BAB5" w14:textId="77777777" w:rsidR="00990FE6" w:rsidRPr="00CC3A3C" w:rsidRDefault="00990FE6" w:rsidP="009B2C8F">
      <w:pPr>
        <w:ind w:left="1418"/>
      </w:pPr>
      <w:r w:rsidRPr="00CC3A3C">
        <w:t>The steps involved in meeting the needs of disabled persons that are different from the needs of persons who are not disabled include, in particular, steps to take account of disabled persons’ disabilities.</w:t>
      </w:r>
    </w:p>
    <w:p w14:paraId="5128BA33" w14:textId="77777777" w:rsidR="00990FE6" w:rsidRPr="00CC3A3C" w:rsidRDefault="00990FE6" w:rsidP="009B2C8F">
      <w:pPr>
        <w:ind w:left="1418"/>
      </w:pPr>
      <w:r w:rsidRPr="00CC3A3C">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CC3A3C" w:rsidRDefault="00990FE6" w:rsidP="007A4D31">
      <w:pPr>
        <w:pStyle w:val="ListParagraph"/>
        <w:numPr>
          <w:ilvl w:val="0"/>
          <w:numId w:val="10"/>
        </w:numPr>
      </w:pPr>
      <w:r w:rsidRPr="00CC3A3C">
        <w:t>Tackle prejudice, and</w:t>
      </w:r>
    </w:p>
    <w:p w14:paraId="0B398716" w14:textId="3788BD7E" w:rsidR="00990FE6" w:rsidRPr="00CC3A3C" w:rsidRDefault="00990FE6" w:rsidP="007A4D31">
      <w:pPr>
        <w:pStyle w:val="ListParagraph"/>
        <w:numPr>
          <w:ilvl w:val="0"/>
          <w:numId w:val="9"/>
        </w:numPr>
      </w:pPr>
      <w:r w:rsidRPr="00CC3A3C">
        <w:t>Promote understanding.</w:t>
      </w:r>
    </w:p>
    <w:p w14:paraId="34E6AD96" w14:textId="77777777" w:rsidR="007C5702" w:rsidRPr="00CC3A3C" w:rsidRDefault="007C5702" w:rsidP="007C5702">
      <w:pPr>
        <w:pStyle w:val="ListParagraph"/>
        <w:ind w:left="1429"/>
      </w:pPr>
    </w:p>
    <w:p w14:paraId="38FFFD95" w14:textId="053FF494" w:rsidR="00990FE6" w:rsidRPr="00CC3A3C" w:rsidRDefault="00731669" w:rsidP="00731669">
      <w:pPr>
        <w:ind w:left="720" w:hanging="720"/>
      </w:pPr>
      <w:r w:rsidRPr="00CC3A3C">
        <w:t>13.3</w:t>
      </w:r>
      <w:r w:rsidRPr="00CC3A3C">
        <w:tab/>
      </w:r>
      <w:r w:rsidR="00990FE6" w:rsidRPr="00CC3A3C">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77777777" w:rsidR="00990FE6" w:rsidRPr="00CC3A3C" w:rsidRDefault="00990FE6" w:rsidP="0076086B">
      <w:pPr>
        <w:ind w:left="1134"/>
      </w:pPr>
      <w:r w:rsidRPr="00CC3A3C">
        <w:t>•</w:t>
      </w:r>
      <w:r w:rsidRPr="00CC3A3C">
        <w:tab/>
        <w:t>Age</w:t>
      </w:r>
    </w:p>
    <w:p w14:paraId="2ED037E6" w14:textId="77777777" w:rsidR="00990FE6" w:rsidRPr="00CC3A3C" w:rsidRDefault="00990FE6" w:rsidP="0076086B">
      <w:pPr>
        <w:ind w:left="1134"/>
      </w:pPr>
      <w:r w:rsidRPr="00CC3A3C">
        <w:t>•</w:t>
      </w:r>
      <w:r w:rsidRPr="00CC3A3C">
        <w:tab/>
        <w:t>Disability</w:t>
      </w:r>
    </w:p>
    <w:p w14:paraId="04FD4D12" w14:textId="77777777" w:rsidR="00990FE6" w:rsidRPr="00CC3A3C" w:rsidRDefault="00990FE6" w:rsidP="0076086B">
      <w:pPr>
        <w:ind w:left="1134"/>
      </w:pPr>
      <w:r w:rsidRPr="00CC3A3C">
        <w:t>•</w:t>
      </w:r>
      <w:r w:rsidRPr="00CC3A3C">
        <w:tab/>
        <w:t>Gender reassignment</w:t>
      </w:r>
    </w:p>
    <w:p w14:paraId="04826F34" w14:textId="77777777" w:rsidR="00990FE6" w:rsidRPr="00CC3A3C" w:rsidRDefault="00990FE6" w:rsidP="0076086B">
      <w:pPr>
        <w:ind w:left="1134"/>
      </w:pPr>
      <w:r w:rsidRPr="00CC3A3C">
        <w:t>•</w:t>
      </w:r>
      <w:r w:rsidRPr="00CC3A3C">
        <w:tab/>
        <w:t>Pregnancy and maternity</w:t>
      </w:r>
    </w:p>
    <w:p w14:paraId="1AF0D231" w14:textId="77777777" w:rsidR="00990FE6" w:rsidRPr="00CC3A3C" w:rsidRDefault="00990FE6" w:rsidP="0076086B">
      <w:pPr>
        <w:ind w:left="1134"/>
      </w:pPr>
      <w:r w:rsidRPr="00CC3A3C">
        <w:t>•</w:t>
      </w:r>
      <w:r w:rsidRPr="00CC3A3C">
        <w:tab/>
        <w:t>Race,</w:t>
      </w:r>
    </w:p>
    <w:p w14:paraId="23BC7366" w14:textId="77777777" w:rsidR="00990FE6" w:rsidRPr="00CC3A3C" w:rsidRDefault="00990FE6" w:rsidP="0076086B">
      <w:pPr>
        <w:ind w:left="1134"/>
      </w:pPr>
      <w:r w:rsidRPr="00CC3A3C">
        <w:t>•</w:t>
      </w:r>
      <w:r w:rsidRPr="00CC3A3C">
        <w:tab/>
        <w:t>Religion or belief</w:t>
      </w:r>
    </w:p>
    <w:p w14:paraId="0FA3E27B" w14:textId="77777777" w:rsidR="00990FE6" w:rsidRPr="00CC3A3C" w:rsidRDefault="00990FE6" w:rsidP="0076086B">
      <w:pPr>
        <w:ind w:left="1134"/>
      </w:pPr>
      <w:r w:rsidRPr="00CC3A3C">
        <w:t>•</w:t>
      </w:r>
      <w:r w:rsidRPr="00CC3A3C">
        <w:tab/>
        <w:t>Sex</w:t>
      </w:r>
    </w:p>
    <w:p w14:paraId="1D3434AB" w14:textId="77777777" w:rsidR="00990FE6" w:rsidRPr="00CC3A3C" w:rsidRDefault="00990FE6" w:rsidP="0076086B">
      <w:pPr>
        <w:ind w:left="1134"/>
      </w:pPr>
      <w:r w:rsidRPr="00CC3A3C">
        <w:t>•</w:t>
      </w:r>
      <w:r w:rsidRPr="00CC3A3C">
        <w:tab/>
        <w:t>Sexual orientation</w:t>
      </w:r>
    </w:p>
    <w:p w14:paraId="76D54F7F" w14:textId="77777777" w:rsidR="00990FE6" w:rsidRPr="00CC3A3C" w:rsidRDefault="00990FE6" w:rsidP="0076086B">
      <w:pPr>
        <w:ind w:left="1134"/>
      </w:pPr>
      <w:r w:rsidRPr="00CC3A3C">
        <w:t>•</w:t>
      </w:r>
      <w:r w:rsidRPr="00CC3A3C">
        <w:tab/>
        <w:t>Marriage and Civil partnership</w:t>
      </w:r>
    </w:p>
    <w:p w14:paraId="7057B0FF" w14:textId="77777777" w:rsidR="00990FE6" w:rsidRPr="00CC3A3C" w:rsidRDefault="00990FE6" w:rsidP="00F17392">
      <w:pPr>
        <w:ind w:left="709"/>
      </w:pPr>
    </w:p>
    <w:p w14:paraId="6F2E1C32" w14:textId="77777777" w:rsidR="00990FE6" w:rsidRPr="00CC3A3C" w:rsidRDefault="00990FE6" w:rsidP="00990FE6"/>
    <w:p w14:paraId="184DB03F" w14:textId="4B9AA4EE" w:rsidR="007163A8" w:rsidRPr="00CC3A3C" w:rsidRDefault="00731669" w:rsidP="007163A8">
      <w:pPr>
        <w:rPr>
          <w:szCs w:val="24"/>
        </w:rPr>
      </w:pPr>
      <w:r w:rsidRPr="00CC3A3C">
        <w:rPr>
          <w:szCs w:val="24"/>
        </w:rPr>
        <w:t>13.4</w:t>
      </w:r>
      <w:r w:rsidRPr="00CC3A3C">
        <w:rPr>
          <w:szCs w:val="24"/>
        </w:rPr>
        <w:tab/>
      </w:r>
      <w:r w:rsidR="005641E0" w:rsidRPr="00CC3A3C">
        <w:rPr>
          <w:szCs w:val="24"/>
        </w:rPr>
        <w:t>Eq</w:t>
      </w:r>
      <w:r w:rsidR="007647E7" w:rsidRPr="00CC3A3C">
        <w:rPr>
          <w:szCs w:val="24"/>
        </w:rPr>
        <w:t>uality assessment</w:t>
      </w:r>
      <w:r w:rsidR="005641E0" w:rsidRPr="00CC3A3C">
        <w:rPr>
          <w:szCs w:val="24"/>
        </w:rPr>
        <w:t xml:space="preserve">s were undertaken </w:t>
      </w:r>
      <w:r w:rsidR="003001F1" w:rsidRPr="00CC3A3C">
        <w:rPr>
          <w:szCs w:val="24"/>
        </w:rPr>
        <w:t>for the budget proposals agreed by Council</w:t>
      </w:r>
      <w:r w:rsidR="005641E0" w:rsidRPr="00CC3A3C">
        <w:rPr>
          <w:szCs w:val="24"/>
        </w:rPr>
        <w:t xml:space="preserve"> listed as part of the MTFS process and an overall </w:t>
      </w:r>
      <w:r w:rsidR="007647E7" w:rsidRPr="00CC3A3C">
        <w:rPr>
          <w:szCs w:val="24"/>
        </w:rPr>
        <w:t>e</w:t>
      </w:r>
      <w:r w:rsidR="005641E0" w:rsidRPr="00CC3A3C">
        <w:rPr>
          <w:szCs w:val="24"/>
        </w:rPr>
        <w:t>q</w:t>
      </w:r>
      <w:r w:rsidR="007647E7" w:rsidRPr="00CC3A3C">
        <w:rPr>
          <w:szCs w:val="24"/>
        </w:rPr>
        <w:t>uality assessment</w:t>
      </w:r>
      <w:r w:rsidR="005641E0" w:rsidRPr="00CC3A3C">
        <w:rPr>
          <w:szCs w:val="24"/>
        </w:rPr>
        <w:t xml:space="preserve"> was undertaken on the MTFS. </w:t>
      </w:r>
      <w:r w:rsidR="007163A8" w:rsidRPr="00CC3A3C">
        <w:rPr>
          <w:szCs w:val="24"/>
        </w:rPr>
        <w:t>There is only recommendation in this report for decision “That Cabinet approve the proposed amendments to the Capital Programme as set out in paragraphs 3.</w:t>
      </w:r>
      <w:r w:rsidR="00C75F94" w:rsidRPr="00CC3A3C">
        <w:rPr>
          <w:szCs w:val="24"/>
        </w:rPr>
        <w:t>3</w:t>
      </w:r>
      <w:r w:rsidR="00E41F8A" w:rsidRPr="00CC3A3C">
        <w:rPr>
          <w:szCs w:val="24"/>
        </w:rPr>
        <w:t>3</w:t>
      </w:r>
      <w:r w:rsidR="007163A8" w:rsidRPr="00CC3A3C">
        <w:rPr>
          <w:szCs w:val="24"/>
        </w:rPr>
        <w:t xml:space="preserve"> to 3.</w:t>
      </w:r>
      <w:r w:rsidR="00C75F94" w:rsidRPr="00CC3A3C">
        <w:rPr>
          <w:szCs w:val="24"/>
        </w:rPr>
        <w:t>4</w:t>
      </w:r>
      <w:r w:rsidR="00E41F8A" w:rsidRPr="00CC3A3C">
        <w:rPr>
          <w:szCs w:val="24"/>
        </w:rPr>
        <w:t>1</w:t>
      </w:r>
      <w:r w:rsidR="007163A8" w:rsidRPr="00CC3A3C">
        <w:rPr>
          <w:szCs w:val="24"/>
        </w:rPr>
        <w:t xml:space="preserve">” it is not considered that this will have a detrimental </w:t>
      </w:r>
      <w:r w:rsidR="004325F9" w:rsidRPr="00CC3A3C">
        <w:rPr>
          <w:szCs w:val="24"/>
        </w:rPr>
        <w:t>equalities</w:t>
      </w:r>
      <w:r w:rsidR="007163A8" w:rsidRPr="00CC3A3C">
        <w:rPr>
          <w:szCs w:val="24"/>
        </w:rPr>
        <w:t xml:space="preserve"> impact.</w:t>
      </w:r>
    </w:p>
    <w:p w14:paraId="21EA8B97" w14:textId="77777777" w:rsidR="00325251" w:rsidRPr="00CC3A3C" w:rsidRDefault="00325251" w:rsidP="00731669">
      <w:pPr>
        <w:ind w:left="709" w:hanging="709"/>
        <w:jc w:val="both"/>
        <w:rPr>
          <w:szCs w:val="24"/>
        </w:rPr>
      </w:pPr>
    </w:p>
    <w:p w14:paraId="002B6C80" w14:textId="26F50C6D" w:rsidR="0054590F" w:rsidRPr="00605CEF" w:rsidRDefault="005641E0" w:rsidP="00731669">
      <w:pPr>
        <w:ind w:left="709" w:hanging="709"/>
        <w:jc w:val="both"/>
        <w:rPr>
          <w:szCs w:val="24"/>
        </w:rPr>
      </w:pPr>
      <w:r w:rsidRPr="00CC3A3C">
        <w:rPr>
          <w:szCs w:val="24"/>
        </w:rPr>
        <w:t xml:space="preserve">It is not </w:t>
      </w:r>
      <w:r w:rsidRPr="00605CEF">
        <w:rPr>
          <w:szCs w:val="24"/>
        </w:rPr>
        <w:t>considered that this report will have any further equality implications</w:t>
      </w:r>
      <w:r w:rsidR="007647E7" w:rsidRPr="00605CEF">
        <w:rPr>
          <w:szCs w:val="24"/>
        </w:rPr>
        <w:t>.</w:t>
      </w:r>
    </w:p>
    <w:p w14:paraId="1CEE1596" w14:textId="77777777" w:rsidR="007647E7" w:rsidRPr="00605CEF" w:rsidRDefault="007647E7" w:rsidP="00AF66F2">
      <w:pPr>
        <w:ind w:left="709"/>
        <w:jc w:val="both"/>
        <w:rPr>
          <w:szCs w:val="24"/>
        </w:rPr>
      </w:pPr>
    </w:p>
    <w:p w14:paraId="188298C1" w14:textId="1FD51254" w:rsidR="00333FAA" w:rsidRPr="00605CEF" w:rsidRDefault="00E269CF" w:rsidP="00EF5843">
      <w:pPr>
        <w:ind w:left="709" w:hanging="709"/>
        <w:rPr>
          <w:szCs w:val="24"/>
        </w:rPr>
      </w:pPr>
      <w:r w:rsidRPr="00605CEF">
        <w:rPr>
          <w:szCs w:val="24"/>
        </w:rPr>
        <w:t>1</w:t>
      </w:r>
      <w:r w:rsidR="00BC74D1" w:rsidRPr="00605CEF">
        <w:rPr>
          <w:szCs w:val="24"/>
        </w:rPr>
        <w:t>4</w:t>
      </w:r>
      <w:r w:rsidRPr="00605CEF">
        <w:rPr>
          <w:szCs w:val="24"/>
        </w:rPr>
        <w:t>.0</w:t>
      </w:r>
      <w:r w:rsidRPr="00605CEF">
        <w:rPr>
          <w:b/>
          <w:szCs w:val="24"/>
        </w:rPr>
        <w:tab/>
      </w:r>
      <w:r w:rsidR="00333FAA" w:rsidRPr="00605CEF">
        <w:rPr>
          <w:b/>
          <w:szCs w:val="24"/>
        </w:rPr>
        <w:t>Council Priorities</w:t>
      </w:r>
    </w:p>
    <w:p w14:paraId="3590D64C" w14:textId="77777777" w:rsidR="002F4605" w:rsidRPr="002F4605" w:rsidRDefault="002F4605" w:rsidP="002F4605">
      <w:pPr>
        <w:pStyle w:val="ListParagraph"/>
        <w:numPr>
          <w:ilvl w:val="0"/>
          <w:numId w:val="45"/>
        </w:numPr>
        <w:autoSpaceDE w:val="0"/>
        <w:autoSpaceDN w:val="0"/>
        <w:spacing w:before="240"/>
        <w:ind w:left="1418" w:hanging="284"/>
        <w:rPr>
          <w:bCs/>
        </w:rPr>
      </w:pPr>
      <w:r w:rsidRPr="002F4605">
        <w:rPr>
          <w:bCs/>
        </w:rPr>
        <w:t>Improving the environment and addressing climate change</w:t>
      </w:r>
    </w:p>
    <w:p w14:paraId="1079E1AD" w14:textId="77777777" w:rsidR="002F4605" w:rsidRPr="002F4605" w:rsidRDefault="002F4605" w:rsidP="002F4605">
      <w:pPr>
        <w:pStyle w:val="ListParagraph"/>
        <w:numPr>
          <w:ilvl w:val="0"/>
          <w:numId w:val="45"/>
        </w:numPr>
        <w:autoSpaceDE w:val="0"/>
        <w:autoSpaceDN w:val="0"/>
        <w:spacing w:before="240"/>
        <w:ind w:left="1418" w:hanging="284"/>
        <w:rPr>
          <w:bCs/>
        </w:rPr>
      </w:pPr>
      <w:r w:rsidRPr="002F4605">
        <w:rPr>
          <w:bCs/>
        </w:rPr>
        <w:t>Tackling poverty and inequality</w:t>
      </w:r>
    </w:p>
    <w:p w14:paraId="2ED368F0" w14:textId="77777777" w:rsidR="002F4605" w:rsidRPr="002F4605" w:rsidRDefault="002F4605" w:rsidP="002F4605">
      <w:pPr>
        <w:pStyle w:val="ListParagraph"/>
        <w:numPr>
          <w:ilvl w:val="0"/>
          <w:numId w:val="45"/>
        </w:numPr>
        <w:autoSpaceDE w:val="0"/>
        <w:autoSpaceDN w:val="0"/>
        <w:spacing w:before="240"/>
        <w:ind w:left="1418" w:hanging="284"/>
        <w:rPr>
          <w:bCs/>
        </w:rPr>
      </w:pPr>
      <w:r w:rsidRPr="002F4605">
        <w:rPr>
          <w:bCs/>
        </w:rPr>
        <w:t>Building homes and infrastructure</w:t>
      </w:r>
    </w:p>
    <w:p w14:paraId="7F6D96C6" w14:textId="77777777" w:rsidR="002F4605" w:rsidRPr="002F4605" w:rsidRDefault="002F4605" w:rsidP="002F4605">
      <w:pPr>
        <w:pStyle w:val="ListParagraph"/>
        <w:numPr>
          <w:ilvl w:val="0"/>
          <w:numId w:val="45"/>
        </w:numPr>
        <w:autoSpaceDE w:val="0"/>
        <w:autoSpaceDN w:val="0"/>
        <w:spacing w:before="240"/>
        <w:ind w:left="1418" w:hanging="284"/>
        <w:rPr>
          <w:bCs/>
        </w:rPr>
      </w:pPr>
      <w:r w:rsidRPr="002F4605">
        <w:rPr>
          <w:bCs/>
        </w:rPr>
        <w:lastRenderedPageBreak/>
        <w:t>Addressing health and social care inequality</w:t>
      </w:r>
    </w:p>
    <w:p w14:paraId="2A3E3719" w14:textId="77777777" w:rsidR="002F4605" w:rsidRPr="002F4605" w:rsidRDefault="002F4605" w:rsidP="002F4605">
      <w:pPr>
        <w:pStyle w:val="ListParagraph"/>
        <w:numPr>
          <w:ilvl w:val="0"/>
          <w:numId w:val="45"/>
        </w:numPr>
        <w:autoSpaceDE w:val="0"/>
        <w:autoSpaceDN w:val="0"/>
        <w:spacing w:before="240"/>
        <w:ind w:left="1418" w:hanging="284"/>
        <w:rPr>
          <w:bCs/>
        </w:rPr>
      </w:pPr>
      <w:r w:rsidRPr="002F4605">
        <w:rPr>
          <w:bCs/>
        </w:rPr>
        <w:t>Thriving economy</w:t>
      </w:r>
    </w:p>
    <w:p w14:paraId="3C91FDA7" w14:textId="77777777" w:rsidR="00307F76" w:rsidRPr="00B37833" w:rsidRDefault="00307F76" w:rsidP="00307F76">
      <w:pPr>
        <w:rPr>
          <w:rFonts w:cs="Arial"/>
          <w:color w:val="FF0000"/>
        </w:rPr>
      </w:pPr>
    </w:p>
    <w:p w14:paraId="47BCC815" w14:textId="77777777" w:rsidR="00333FAA" w:rsidRPr="00CC3A3C" w:rsidRDefault="00333FAA" w:rsidP="00333FAA">
      <w:pPr>
        <w:pStyle w:val="Heading1"/>
        <w:keepNext/>
      </w:pPr>
      <w:r w:rsidRPr="00CC3A3C">
        <w:t>Section 3 - Statutory Officer Clearance</w:t>
      </w:r>
    </w:p>
    <w:p w14:paraId="3054B45B" w14:textId="77777777" w:rsidR="00333FAA" w:rsidRPr="00CC3A3C" w:rsidRDefault="00333FAA" w:rsidP="00333FAA">
      <w:pPr>
        <w:keepNext/>
        <w:rPr>
          <w:rFonts w:cs="Arial"/>
        </w:rPr>
      </w:pPr>
    </w:p>
    <w:p w14:paraId="408922F9" w14:textId="361662FA" w:rsidR="00166B73" w:rsidRPr="00421A1D" w:rsidRDefault="00166B73" w:rsidP="00166B73">
      <w:pPr>
        <w:rPr>
          <w:sz w:val="28"/>
        </w:rPr>
      </w:pPr>
      <w:r w:rsidRPr="00421A1D">
        <w:rPr>
          <w:b/>
          <w:sz w:val="28"/>
        </w:rPr>
        <w:t>Statutory Officer:  Dawn Calvert</w:t>
      </w:r>
    </w:p>
    <w:p w14:paraId="680F7289" w14:textId="3BB843E1" w:rsidR="00166B73" w:rsidRPr="00421A1D" w:rsidRDefault="00166B73" w:rsidP="00166B73">
      <w:r w:rsidRPr="00421A1D">
        <w:t>Signed by the Chief Financial Officer</w:t>
      </w:r>
    </w:p>
    <w:p w14:paraId="0AD3F108" w14:textId="79460C6E" w:rsidR="00166B73" w:rsidRPr="00421A1D" w:rsidRDefault="00166B73" w:rsidP="00166B73">
      <w:pPr>
        <w:spacing w:after="480"/>
        <w:rPr>
          <w:sz w:val="28"/>
        </w:rPr>
      </w:pPr>
      <w:r w:rsidRPr="00421A1D">
        <w:rPr>
          <w:b/>
          <w:sz w:val="28"/>
        </w:rPr>
        <w:t xml:space="preserve">Date:  </w:t>
      </w:r>
      <w:r w:rsidR="00421A1D" w:rsidRPr="00421A1D">
        <w:rPr>
          <w:b/>
          <w:sz w:val="28"/>
        </w:rPr>
        <w:t>29/06/22</w:t>
      </w:r>
    </w:p>
    <w:p w14:paraId="7FD2824A" w14:textId="6E421B90" w:rsidR="00166B73" w:rsidRPr="00421A1D" w:rsidRDefault="00166B73" w:rsidP="00166B73">
      <w:pPr>
        <w:rPr>
          <w:sz w:val="28"/>
        </w:rPr>
      </w:pPr>
      <w:r w:rsidRPr="00421A1D">
        <w:rPr>
          <w:b/>
          <w:sz w:val="28"/>
        </w:rPr>
        <w:t>Statutory Officer:  Jessica Farmer</w:t>
      </w:r>
    </w:p>
    <w:p w14:paraId="49DD4E8A" w14:textId="482D912F" w:rsidR="00166B73" w:rsidRPr="00421A1D" w:rsidRDefault="00166B73" w:rsidP="00166B73">
      <w:r w:rsidRPr="00421A1D">
        <w:t>Signed on behalf of the Monitoring Officer</w:t>
      </w:r>
    </w:p>
    <w:p w14:paraId="0A1EC408" w14:textId="54EB09B9" w:rsidR="00166B73" w:rsidRPr="00421A1D" w:rsidRDefault="00166B73" w:rsidP="00166B73">
      <w:pPr>
        <w:spacing w:after="480"/>
        <w:rPr>
          <w:sz w:val="28"/>
        </w:rPr>
      </w:pPr>
      <w:r w:rsidRPr="00421A1D">
        <w:rPr>
          <w:b/>
          <w:sz w:val="28"/>
        </w:rPr>
        <w:t xml:space="preserve">Date:  </w:t>
      </w:r>
      <w:r w:rsidR="00421A1D" w:rsidRPr="00421A1D">
        <w:rPr>
          <w:b/>
          <w:sz w:val="28"/>
        </w:rPr>
        <w:t>28/06/22</w:t>
      </w:r>
    </w:p>
    <w:p w14:paraId="59531151" w14:textId="653D2C53" w:rsidR="00166B73" w:rsidRPr="00605CEF" w:rsidRDefault="00166B73" w:rsidP="00166B73">
      <w:pPr>
        <w:rPr>
          <w:sz w:val="28"/>
        </w:rPr>
      </w:pPr>
      <w:r w:rsidRPr="00605CEF">
        <w:rPr>
          <w:b/>
          <w:sz w:val="28"/>
        </w:rPr>
        <w:t>Chief Officer:  Charlie Stewart</w:t>
      </w:r>
    </w:p>
    <w:p w14:paraId="62CC2E6C" w14:textId="1314F221" w:rsidR="00166B73" w:rsidRPr="00605CEF" w:rsidRDefault="00166B73" w:rsidP="00166B73">
      <w:r w:rsidRPr="00605CEF">
        <w:t xml:space="preserve">Signed off by the Corporate </w:t>
      </w:r>
      <w:r w:rsidR="004325F9" w:rsidRPr="00605CEF">
        <w:t>Director</w:t>
      </w:r>
    </w:p>
    <w:p w14:paraId="7969C720" w14:textId="19236113" w:rsidR="00166B73" w:rsidRPr="00605CEF" w:rsidRDefault="00166B73" w:rsidP="00166B73">
      <w:pPr>
        <w:spacing w:after="480"/>
        <w:rPr>
          <w:sz w:val="28"/>
        </w:rPr>
      </w:pPr>
      <w:r w:rsidRPr="00605CEF">
        <w:rPr>
          <w:b/>
          <w:sz w:val="28"/>
        </w:rPr>
        <w:t xml:space="preserve">Date:  </w:t>
      </w:r>
      <w:r w:rsidR="00605CEF" w:rsidRPr="00605CEF">
        <w:rPr>
          <w:b/>
          <w:sz w:val="28"/>
        </w:rPr>
        <w:t>04/07/22</w:t>
      </w:r>
    </w:p>
    <w:p w14:paraId="6A09054B" w14:textId="76E9B250" w:rsidR="00166B73" w:rsidRPr="00605CEF" w:rsidRDefault="00166B73" w:rsidP="00166B73">
      <w:pPr>
        <w:rPr>
          <w:sz w:val="28"/>
        </w:rPr>
      </w:pPr>
      <w:r w:rsidRPr="00605CEF">
        <w:rPr>
          <w:b/>
          <w:sz w:val="28"/>
        </w:rPr>
        <w:t>Head of Procurement:  Nimesh Mehta</w:t>
      </w:r>
    </w:p>
    <w:p w14:paraId="771CF306" w14:textId="30F0399B" w:rsidR="00166B73" w:rsidRPr="00605CEF" w:rsidRDefault="00166B73" w:rsidP="00166B73">
      <w:r w:rsidRPr="00605CEF">
        <w:t>Signed by the Head of Procurement</w:t>
      </w:r>
    </w:p>
    <w:p w14:paraId="72B6B1A2" w14:textId="7D928B31" w:rsidR="00166B73" w:rsidRPr="00605CEF" w:rsidRDefault="00166B73" w:rsidP="00166B73">
      <w:pPr>
        <w:spacing w:after="480"/>
        <w:rPr>
          <w:sz w:val="28"/>
        </w:rPr>
      </w:pPr>
      <w:r w:rsidRPr="00605CEF">
        <w:rPr>
          <w:b/>
          <w:sz w:val="28"/>
        </w:rPr>
        <w:t xml:space="preserve">Date: </w:t>
      </w:r>
      <w:r w:rsidR="00605CEF" w:rsidRPr="00605CEF">
        <w:rPr>
          <w:b/>
          <w:sz w:val="28"/>
        </w:rPr>
        <w:t>04/07/22</w:t>
      </w:r>
    </w:p>
    <w:p w14:paraId="65C97688" w14:textId="56C846E9" w:rsidR="00166B73" w:rsidRPr="00605CEF" w:rsidRDefault="00166B73" w:rsidP="00166B73">
      <w:pPr>
        <w:rPr>
          <w:sz w:val="28"/>
        </w:rPr>
      </w:pPr>
      <w:r w:rsidRPr="00605CEF">
        <w:rPr>
          <w:b/>
          <w:sz w:val="28"/>
        </w:rPr>
        <w:t>Head of Internal Audit:  Susan Dixson</w:t>
      </w:r>
    </w:p>
    <w:p w14:paraId="7CD521C9" w14:textId="5E615B33" w:rsidR="00166B73" w:rsidRPr="00605CEF" w:rsidRDefault="00166B73" w:rsidP="00166B73">
      <w:r w:rsidRPr="00605CEF">
        <w:t>Signed by the Head of Internal Audit</w:t>
      </w:r>
    </w:p>
    <w:p w14:paraId="7CF8A8F1" w14:textId="7533E838" w:rsidR="00166B73" w:rsidRPr="00605CEF" w:rsidRDefault="00166B73" w:rsidP="00166B73">
      <w:pPr>
        <w:pStyle w:val="Heading2"/>
        <w:spacing w:after="240"/>
      </w:pPr>
      <w:r w:rsidRPr="00605CEF">
        <w:t>Date:</w:t>
      </w:r>
      <w:r w:rsidR="00800A69" w:rsidRPr="00605CEF">
        <w:t xml:space="preserve"> </w:t>
      </w:r>
      <w:r w:rsidR="00605CEF" w:rsidRPr="00605CEF">
        <w:t>04/07/22</w:t>
      </w:r>
    </w:p>
    <w:p w14:paraId="34A45030" w14:textId="77777777" w:rsidR="00166B73" w:rsidRPr="00421A1D" w:rsidRDefault="00166B73" w:rsidP="00166B73">
      <w:pPr>
        <w:pStyle w:val="Heading2"/>
        <w:spacing w:before="480" w:after="240"/>
      </w:pPr>
      <w:r w:rsidRPr="00421A1D">
        <w:t>Mandatory Checks</w:t>
      </w:r>
    </w:p>
    <w:p w14:paraId="1EA50314" w14:textId="7724211E" w:rsidR="00166B73" w:rsidRPr="00421A1D" w:rsidRDefault="00166B73" w:rsidP="00166B73">
      <w:pPr>
        <w:pStyle w:val="Heading3"/>
        <w:ind w:left="0" w:firstLine="0"/>
        <w:jc w:val="left"/>
      </w:pPr>
      <w:r w:rsidRPr="00421A1D">
        <w:t xml:space="preserve">Ward Councillors notified:   NO as it impacts on all Wards </w:t>
      </w:r>
    </w:p>
    <w:p w14:paraId="0AA0FCBB" w14:textId="72821E44" w:rsidR="00166B73" w:rsidRPr="00B37833" w:rsidRDefault="00166B73" w:rsidP="00EF5843">
      <w:pPr>
        <w:pStyle w:val="Heading3"/>
        <w:spacing w:before="240"/>
        <w:rPr>
          <w:color w:val="FF0000"/>
        </w:rPr>
      </w:pPr>
      <w:proofErr w:type="spellStart"/>
      <w:r w:rsidRPr="00421A1D">
        <w:lastRenderedPageBreak/>
        <w:t>EqIA</w:t>
      </w:r>
      <w:proofErr w:type="spellEnd"/>
      <w:r w:rsidRPr="00421A1D">
        <w:t xml:space="preserve"> carried out:  NO</w:t>
      </w:r>
    </w:p>
    <w:p w14:paraId="0A0F3F9E" w14:textId="77777777" w:rsidR="002548D1" w:rsidRPr="00B37833" w:rsidRDefault="002548D1" w:rsidP="00333FAA">
      <w:pPr>
        <w:rPr>
          <w:color w:val="FF0000"/>
        </w:rPr>
      </w:pPr>
    </w:p>
    <w:p w14:paraId="0608363E" w14:textId="77777777" w:rsidR="00333FAA" w:rsidRPr="00CC3A3C" w:rsidRDefault="00333FAA" w:rsidP="00333FAA">
      <w:pPr>
        <w:pStyle w:val="Heading1"/>
        <w:keepNext/>
      </w:pPr>
      <w:r w:rsidRPr="00CC3A3C">
        <w:t xml:space="preserve">Section </w:t>
      </w:r>
      <w:r w:rsidR="00A20113" w:rsidRPr="00CC3A3C">
        <w:t>4</w:t>
      </w:r>
      <w:r w:rsidRPr="00CC3A3C">
        <w:t xml:space="preserve"> - Contact Details and Background Papers</w:t>
      </w:r>
    </w:p>
    <w:p w14:paraId="4A7EEFA6" w14:textId="77777777" w:rsidR="00333FAA" w:rsidRPr="00CC3A3C" w:rsidRDefault="00333FAA" w:rsidP="00333FAA">
      <w:pPr>
        <w:keepNext/>
        <w:rPr>
          <w:rFonts w:cs="Arial"/>
        </w:rPr>
      </w:pPr>
    </w:p>
    <w:p w14:paraId="02BC8A13" w14:textId="56713E7E" w:rsidR="00CA2FF3" w:rsidRPr="00EF5843" w:rsidRDefault="00333FAA" w:rsidP="00CA2FF3">
      <w:pPr>
        <w:pStyle w:val="Infotext"/>
        <w:rPr>
          <w:bCs/>
        </w:rPr>
      </w:pPr>
      <w:r w:rsidRPr="00CC3A3C">
        <w:rPr>
          <w:b/>
        </w:rPr>
        <w:t xml:space="preserve">Contact:  </w:t>
      </w:r>
      <w:r w:rsidR="00CA2FF3" w:rsidRPr="00EF5843">
        <w:rPr>
          <w:bCs/>
        </w:rPr>
        <w:t xml:space="preserve">Sharon </w:t>
      </w:r>
      <w:r w:rsidR="005C7899" w:rsidRPr="00EF5843">
        <w:rPr>
          <w:bCs/>
        </w:rPr>
        <w:t>Daniels, Head</w:t>
      </w:r>
      <w:r w:rsidR="00CA2FF3" w:rsidRPr="00EF5843">
        <w:rPr>
          <w:bCs/>
        </w:rPr>
        <w:t xml:space="preserve"> of Strategic and Technical Finance (Deputy S151), Telephone 020 8424 1332, Sharon </w:t>
      </w:r>
      <w:hyperlink r:id="rId17" w:history="1">
        <w:r w:rsidR="00EF5843" w:rsidRPr="00643450">
          <w:rPr>
            <w:rStyle w:val="Hyperlink"/>
            <w:bCs/>
          </w:rPr>
          <w:t>Daniels@harrow.gov.uk</w:t>
        </w:r>
      </w:hyperlink>
      <w:r w:rsidR="00EF5843">
        <w:rPr>
          <w:bCs/>
        </w:rPr>
        <w:t xml:space="preserve"> </w:t>
      </w:r>
    </w:p>
    <w:p w14:paraId="1609BB6B" w14:textId="77777777" w:rsidR="00333FAA" w:rsidRPr="00EF5843" w:rsidRDefault="00333FAA" w:rsidP="00333FAA">
      <w:pPr>
        <w:rPr>
          <w:bCs/>
          <w:color w:val="FF0000"/>
        </w:rPr>
      </w:pPr>
    </w:p>
    <w:p w14:paraId="1D63A09E" w14:textId="77777777" w:rsidR="00CC3A3C" w:rsidRDefault="00CC3A3C" w:rsidP="00CC3A3C">
      <w:pPr>
        <w:pStyle w:val="Infotext"/>
        <w:spacing w:after="240"/>
        <w:rPr>
          <w:b/>
        </w:rPr>
      </w:pPr>
      <w:r w:rsidRPr="004E47FC">
        <w:rPr>
          <w:b/>
        </w:rPr>
        <w:t xml:space="preserve">Background Papers: </w:t>
      </w:r>
      <w:r>
        <w:rPr>
          <w:b/>
        </w:rPr>
        <w:t xml:space="preserve"> </w:t>
      </w:r>
    </w:p>
    <w:p w14:paraId="57C81187" w14:textId="265BE99A" w:rsidR="00333FAA" w:rsidRPr="00EF5843" w:rsidRDefault="00EF5843" w:rsidP="00EF5843">
      <w:pPr>
        <w:pStyle w:val="ListParagraph"/>
        <w:numPr>
          <w:ilvl w:val="0"/>
          <w:numId w:val="46"/>
        </w:numPr>
        <w:rPr>
          <w:b/>
          <w:color w:val="FF0000"/>
        </w:rPr>
      </w:pPr>
      <w:hyperlink r:id="rId18" w:history="1">
        <w:r w:rsidR="00CC3A3C" w:rsidRPr="00EF5843">
          <w:rPr>
            <w:rStyle w:val="Hyperlink"/>
            <w:b/>
            <w:sz w:val="28"/>
            <w:szCs w:val="22"/>
          </w:rPr>
          <w:t>2021/22 Budget Report</w:t>
        </w:r>
      </w:hyperlink>
      <w:r w:rsidRPr="00EF5843">
        <w:rPr>
          <w:rStyle w:val="Hyperlink"/>
          <w:b/>
          <w:sz w:val="28"/>
          <w:szCs w:val="22"/>
        </w:rPr>
        <w:t xml:space="preserve"> </w:t>
      </w:r>
    </w:p>
    <w:p w14:paraId="49B2F127" w14:textId="42B43F4A" w:rsidR="000D4E36" w:rsidRPr="00B37833" w:rsidRDefault="00CC3A3C" w:rsidP="00EF5843">
      <w:pPr>
        <w:pStyle w:val="Infotext"/>
        <w:spacing w:before="480"/>
        <w:rPr>
          <w:color w:val="FF0000"/>
        </w:rPr>
      </w:pPr>
      <w:r>
        <w:rPr>
          <w:rFonts w:ascii="Arial Black" w:hAnsi="Arial Black"/>
        </w:rPr>
        <w:t>Call-in w</w:t>
      </w:r>
      <w:r w:rsidRPr="007C0DC3">
        <w:rPr>
          <w:rFonts w:ascii="Arial Black" w:hAnsi="Arial Black"/>
        </w:rPr>
        <w:t>aived by the Chair of Overview and Scrutiny Committee</w:t>
      </w:r>
      <w:r w:rsidR="00EF5843">
        <w:rPr>
          <w:rFonts w:ascii="Arial Black" w:hAnsi="Arial Black"/>
        </w:rPr>
        <w:t xml:space="preserve"> - </w:t>
      </w:r>
      <w:r w:rsidRPr="003D78F6">
        <w:rPr>
          <w:b/>
        </w:rPr>
        <w:t>N</w:t>
      </w:r>
      <w:r w:rsidR="00EF5843">
        <w:rPr>
          <w:b/>
        </w:rPr>
        <w:t>O</w:t>
      </w:r>
    </w:p>
    <w:sectPr w:rsidR="000D4E36" w:rsidRPr="00B37833" w:rsidSect="00EF5843">
      <w:headerReference w:type="default" r:id="rId19"/>
      <w:footerReference w:type="default" r:id="rId20"/>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8984" w14:textId="77777777" w:rsidR="00FB687E" w:rsidRDefault="00FB687E">
      <w:r>
        <w:separator/>
      </w:r>
    </w:p>
  </w:endnote>
  <w:endnote w:type="continuationSeparator" w:id="0">
    <w:p w14:paraId="7D532937" w14:textId="77777777" w:rsidR="00FB687E" w:rsidRDefault="00FB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6713"/>
      <w:docPartObj>
        <w:docPartGallery w:val="Page Numbers (Bottom of Page)"/>
        <w:docPartUnique/>
      </w:docPartObj>
    </w:sdtPr>
    <w:sdtEndPr>
      <w:rPr>
        <w:noProof/>
      </w:rPr>
    </w:sdtEndPr>
    <w:sdtContent>
      <w:p w14:paraId="017D2AB2" w14:textId="77777777" w:rsidR="00FB687E" w:rsidRDefault="00FB687E">
        <w:pPr>
          <w:pStyle w:val="Footer"/>
          <w:jc w:val="right"/>
        </w:pPr>
      </w:p>
      <w:p w14:paraId="39DBA1EA" w14:textId="1DCBBAE9" w:rsidR="00FB687E" w:rsidRDefault="00EF5843">
        <w:pPr>
          <w:pStyle w:val="Footer"/>
          <w:jc w:val="right"/>
        </w:pPr>
      </w:p>
    </w:sdtContent>
  </w:sdt>
  <w:p w14:paraId="39DF7124" w14:textId="77777777" w:rsidR="00FB687E" w:rsidRDefault="00FB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9127" w14:textId="77777777" w:rsidR="00FB687E" w:rsidRDefault="00FB687E">
      <w:r>
        <w:separator/>
      </w:r>
    </w:p>
  </w:footnote>
  <w:footnote w:type="continuationSeparator" w:id="0">
    <w:p w14:paraId="77D8B405" w14:textId="77777777" w:rsidR="00FB687E" w:rsidRDefault="00FB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BC5" w14:textId="77777777" w:rsidR="00FB687E" w:rsidRDefault="00FB687E">
    <w:pPr>
      <w:pStyle w:val="Header"/>
    </w:pPr>
  </w:p>
  <w:p w14:paraId="3BC3A77A" w14:textId="77777777" w:rsidR="00FB687E" w:rsidRDefault="00FB687E">
    <w:pPr>
      <w:pStyle w:val="Header"/>
    </w:pPr>
  </w:p>
  <w:p w14:paraId="5BFCD507" w14:textId="77777777" w:rsidR="00FB687E" w:rsidRDefault="00FB687E">
    <w:pPr>
      <w:pStyle w:val="Header"/>
    </w:pPr>
  </w:p>
  <w:p w14:paraId="0D8541FE" w14:textId="77777777" w:rsidR="00FB687E" w:rsidRDefault="00F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A0176B0"/>
    <w:multiLevelType w:val="hybridMultilevel"/>
    <w:tmpl w:val="044AED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0E57B0"/>
    <w:multiLevelType w:val="hybridMultilevel"/>
    <w:tmpl w:val="7090D83A"/>
    <w:lvl w:ilvl="0" w:tplc="CB1688B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020E33"/>
    <w:multiLevelType w:val="hybridMultilevel"/>
    <w:tmpl w:val="F8C4357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F12F2"/>
    <w:multiLevelType w:val="hybridMultilevel"/>
    <w:tmpl w:val="111A622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15:restartNumberingAfterBreak="0">
    <w:nsid w:val="1D3D74C7"/>
    <w:multiLevelType w:val="hybridMultilevel"/>
    <w:tmpl w:val="93EAFF6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230B26FA"/>
    <w:multiLevelType w:val="hybridMultilevel"/>
    <w:tmpl w:val="DA14B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2AE972D0"/>
    <w:multiLevelType w:val="hybridMultilevel"/>
    <w:tmpl w:val="BAA4C0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3" w15:restartNumberingAfterBreak="0">
    <w:nsid w:val="36E93E80"/>
    <w:multiLevelType w:val="hybridMultilevel"/>
    <w:tmpl w:val="0B0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548E5"/>
    <w:multiLevelType w:val="hybridMultilevel"/>
    <w:tmpl w:val="8E4A1A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DD42FA4"/>
    <w:multiLevelType w:val="hybridMultilevel"/>
    <w:tmpl w:val="EB86F1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0C91D73"/>
    <w:multiLevelType w:val="hybridMultilevel"/>
    <w:tmpl w:val="D4FC7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9" w15:restartNumberingAfterBreak="0">
    <w:nsid w:val="46033158"/>
    <w:multiLevelType w:val="hybridMultilevel"/>
    <w:tmpl w:val="0870FAA0"/>
    <w:lvl w:ilvl="0" w:tplc="77240A66">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9BC788C"/>
    <w:multiLevelType w:val="multilevel"/>
    <w:tmpl w:val="E416A404"/>
    <w:lvl w:ilvl="0">
      <w:start w:val="3"/>
      <w:numFmt w:val="decimal"/>
      <w:lvlText w:val="%1"/>
      <w:lvlJc w:val="left"/>
      <w:pPr>
        <w:ind w:left="473" w:hanging="473"/>
      </w:pPr>
      <w:rPr>
        <w:rFonts w:cs="Arial" w:hint="default"/>
      </w:rPr>
    </w:lvl>
    <w:lvl w:ilvl="1">
      <w:start w:val="33"/>
      <w:numFmt w:val="decimal"/>
      <w:lvlText w:val="%1.%2"/>
      <w:lvlJc w:val="left"/>
      <w:pPr>
        <w:ind w:left="473" w:hanging="473"/>
      </w:pPr>
      <w:rPr>
        <w:rFonts w:cs="Arial" w:hint="default"/>
        <w:b w:val="0"/>
        <w:bCs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1" w15:restartNumberingAfterBreak="0">
    <w:nsid w:val="4CCD1F8D"/>
    <w:multiLevelType w:val="hybridMultilevel"/>
    <w:tmpl w:val="23B89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CE12815"/>
    <w:multiLevelType w:val="hybridMultilevel"/>
    <w:tmpl w:val="CDAE0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D9B6F37"/>
    <w:multiLevelType w:val="hybridMultilevel"/>
    <w:tmpl w:val="C27A7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F0E16BD"/>
    <w:multiLevelType w:val="hybridMultilevel"/>
    <w:tmpl w:val="D5E09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57757E"/>
    <w:multiLevelType w:val="multilevel"/>
    <w:tmpl w:val="941C72CA"/>
    <w:lvl w:ilvl="0">
      <w:start w:val="3"/>
      <w:numFmt w:val="decimal"/>
      <w:lvlText w:val="%1"/>
      <w:lvlJc w:val="left"/>
      <w:pPr>
        <w:ind w:left="460" w:hanging="460"/>
      </w:pPr>
    </w:lvl>
    <w:lvl w:ilvl="1">
      <w:start w:val="20"/>
      <w:numFmt w:val="decimal"/>
      <w:lvlText w:val="%1.%2"/>
      <w:lvlJc w:val="left"/>
      <w:pPr>
        <w:ind w:left="1878" w:hanging="46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4FFF32D2"/>
    <w:multiLevelType w:val="hybridMultilevel"/>
    <w:tmpl w:val="550AF50A"/>
    <w:lvl w:ilvl="0" w:tplc="725A6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B755F"/>
    <w:multiLevelType w:val="hybridMultilevel"/>
    <w:tmpl w:val="3C9A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3C570E6"/>
    <w:multiLevelType w:val="hybridMultilevel"/>
    <w:tmpl w:val="ED28C6E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D268C9"/>
    <w:multiLevelType w:val="multilevel"/>
    <w:tmpl w:val="5B1A567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F6625DC"/>
    <w:multiLevelType w:val="hybridMultilevel"/>
    <w:tmpl w:val="26C00408"/>
    <w:lvl w:ilvl="0" w:tplc="0FEAC234">
      <w:numFmt w:val="decimal"/>
      <w:lvlText w:val="2.%1"/>
      <w:lvlJc w:val="left"/>
      <w:pPr>
        <w:ind w:left="3905"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27B5AA2"/>
    <w:multiLevelType w:val="hybridMultilevel"/>
    <w:tmpl w:val="9DFAEA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294160C"/>
    <w:multiLevelType w:val="hybridMultilevel"/>
    <w:tmpl w:val="FDC2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66A2A"/>
    <w:multiLevelType w:val="hybridMultilevel"/>
    <w:tmpl w:val="44783248"/>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8F1430"/>
    <w:multiLevelType w:val="hybridMultilevel"/>
    <w:tmpl w:val="3CC827D4"/>
    <w:lvl w:ilvl="0" w:tplc="FFFFFFFF">
      <w:start w:val="1"/>
      <w:numFmt w:val="decimal"/>
      <w:lvlText w:val="%1."/>
      <w:lvlJc w:val="left"/>
      <w:pPr>
        <w:tabs>
          <w:tab w:val="num" w:pos="720"/>
        </w:tabs>
        <w:ind w:left="720" w:hanging="720"/>
      </w:pPr>
      <w:rPr>
        <w:strike w:val="0"/>
        <w:color w:val="auto"/>
      </w:rPr>
    </w:lvl>
    <w:lvl w:ilvl="1" w:tplc="04090019">
      <w:start w:val="1"/>
      <w:numFmt w:val="lowerLetter"/>
      <w:lvlText w:val="%2."/>
      <w:lvlJc w:val="left"/>
      <w:pPr>
        <w:tabs>
          <w:tab w:val="num" w:pos="1440"/>
        </w:tabs>
        <w:ind w:left="1440" w:hanging="360"/>
      </w:pPr>
    </w:lvl>
    <w:lvl w:ilvl="2" w:tplc="C010A4E0">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9A5BCC"/>
    <w:multiLevelType w:val="hybridMultilevel"/>
    <w:tmpl w:val="AF141F5C"/>
    <w:lvl w:ilvl="0" w:tplc="55A61BD4">
      <w:start w:val="1"/>
      <w:numFmt w:val="bullet"/>
      <w:lvlText w:val=""/>
      <w:lvlJc w:val="left"/>
      <w:pPr>
        <w:ind w:left="1069"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F555F"/>
    <w:multiLevelType w:val="multilevel"/>
    <w:tmpl w:val="CDEA1880"/>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1E4B4D"/>
    <w:multiLevelType w:val="hybridMultilevel"/>
    <w:tmpl w:val="13D07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5DE16EE"/>
    <w:multiLevelType w:val="hybridMultilevel"/>
    <w:tmpl w:val="1AD0E9A0"/>
    <w:lvl w:ilvl="0" w:tplc="4ED6FDE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7B65DF8"/>
    <w:multiLevelType w:val="hybridMultilevel"/>
    <w:tmpl w:val="6704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30"/>
  </w:num>
  <w:num w:numId="3">
    <w:abstractNumId w:val="35"/>
  </w:num>
  <w:num w:numId="4">
    <w:abstractNumId w:val="9"/>
  </w:num>
  <w:num w:numId="5">
    <w:abstractNumId w:val="31"/>
  </w:num>
  <w:num w:numId="6">
    <w:abstractNumId w:val="18"/>
  </w:num>
  <w:num w:numId="7">
    <w:abstractNumId w:val="32"/>
  </w:num>
  <w:num w:numId="8">
    <w:abstractNumId w:val="11"/>
  </w:num>
  <w:num w:numId="9">
    <w:abstractNumId w:val="44"/>
  </w:num>
  <w:num w:numId="10">
    <w:abstractNumId w:val="40"/>
  </w:num>
  <w:num w:numId="11">
    <w:abstractNumId w:val="12"/>
  </w:num>
  <w:num w:numId="12">
    <w:abstractNumId w:val="1"/>
  </w:num>
  <w:num w:numId="13">
    <w:abstractNumId w:val="25"/>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14"/>
  </w:num>
  <w:num w:numId="17">
    <w:abstractNumId w:val="33"/>
  </w:num>
  <w:num w:numId="18">
    <w:abstractNumId w:val="23"/>
  </w:num>
  <w:num w:numId="19">
    <w:abstractNumId w:val="8"/>
  </w:num>
  <w:num w:numId="20">
    <w:abstractNumId w:val="27"/>
  </w:num>
  <w:num w:numId="21">
    <w:abstractNumId w:val="15"/>
  </w:num>
  <w:num w:numId="22">
    <w:abstractNumId w:val="21"/>
  </w:num>
  <w:num w:numId="23">
    <w:abstractNumId w:val="2"/>
  </w:num>
  <w:num w:numId="24">
    <w:abstractNumId w:val="10"/>
  </w:num>
  <w:num w:numId="25">
    <w:abstractNumId w:val="3"/>
  </w:num>
  <w:num w:numId="26">
    <w:abstractNumId w:val="19"/>
  </w:num>
  <w:num w:numId="27">
    <w:abstractNumId w:val="39"/>
  </w:num>
  <w:num w:numId="28">
    <w:abstractNumId w:val="16"/>
  </w:num>
  <w:num w:numId="29">
    <w:abstractNumId w:val="4"/>
  </w:num>
  <w:num w:numId="30">
    <w:abstractNumId w:val="6"/>
  </w:num>
  <w:num w:numId="31">
    <w:abstractNumId w:val="26"/>
  </w:num>
  <w:num w:numId="32">
    <w:abstractNumId w:val="38"/>
  </w:num>
  <w:num w:numId="33">
    <w:abstractNumId w:val="34"/>
  </w:num>
  <w:num w:numId="34">
    <w:abstractNumId w:val="24"/>
  </w:num>
  <w:num w:numId="35">
    <w:abstractNumId w:val="37"/>
  </w:num>
  <w:num w:numId="36">
    <w:abstractNumId w:val="36"/>
  </w:num>
  <w:num w:numId="37">
    <w:abstractNumId w:val="43"/>
  </w:num>
  <w:num w:numId="3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2"/>
  </w:num>
  <w:num w:numId="41">
    <w:abstractNumId w:val="42"/>
  </w:num>
  <w:num w:numId="42">
    <w:abstractNumId w:val="41"/>
  </w:num>
  <w:num w:numId="43">
    <w:abstractNumId w:val="29"/>
  </w:num>
  <w:num w:numId="44">
    <w:abstractNumId w:val="5"/>
  </w:num>
  <w:num w:numId="45">
    <w:abstractNumId w:val="28"/>
  </w:num>
  <w:num w:numId="46">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413A"/>
    <w:rsid w:val="00004286"/>
    <w:rsid w:val="000058C5"/>
    <w:rsid w:val="00005F26"/>
    <w:rsid w:val="00007FDF"/>
    <w:rsid w:val="00012758"/>
    <w:rsid w:val="00013D39"/>
    <w:rsid w:val="000142E6"/>
    <w:rsid w:val="0001555A"/>
    <w:rsid w:val="000176F7"/>
    <w:rsid w:val="00021610"/>
    <w:rsid w:val="00021CD0"/>
    <w:rsid w:val="0002245A"/>
    <w:rsid w:val="00022532"/>
    <w:rsid w:val="00024A5C"/>
    <w:rsid w:val="00027ED7"/>
    <w:rsid w:val="0003222D"/>
    <w:rsid w:val="00032BAF"/>
    <w:rsid w:val="000358A6"/>
    <w:rsid w:val="00035F2C"/>
    <w:rsid w:val="0003669D"/>
    <w:rsid w:val="000368EA"/>
    <w:rsid w:val="00040241"/>
    <w:rsid w:val="0004029A"/>
    <w:rsid w:val="0004368A"/>
    <w:rsid w:val="000445B8"/>
    <w:rsid w:val="00045E83"/>
    <w:rsid w:val="00046812"/>
    <w:rsid w:val="00047A9E"/>
    <w:rsid w:val="00055177"/>
    <w:rsid w:val="0005698E"/>
    <w:rsid w:val="0006034E"/>
    <w:rsid w:val="00061479"/>
    <w:rsid w:val="000626B0"/>
    <w:rsid w:val="00063783"/>
    <w:rsid w:val="00063D00"/>
    <w:rsid w:val="000645AE"/>
    <w:rsid w:val="00066267"/>
    <w:rsid w:val="00070FDB"/>
    <w:rsid w:val="00071D3E"/>
    <w:rsid w:val="00072CAD"/>
    <w:rsid w:val="00072D88"/>
    <w:rsid w:val="000735B3"/>
    <w:rsid w:val="00073765"/>
    <w:rsid w:val="00073986"/>
    <w:rsid w:val="00074AE3"/>
    <w:rsid w:val="0007562B"/>
    <w:rsid w:val="00075ABD"/>
    <w:rsid w:val="00076D24"/>
    <w:rsid w:val="000800ED"/>
    <w:rsid w:val="00082F83"/>
    <w:rsid w:val="00083283"/>
    <w:rsid w:val="000860A6"/>
    <w:rsid w:val="0008678F"/>
    <w:rsid w:val="00087368"/>
    <w:rsid w:val="00091547"/>
    <w:rsid w:val="000929A6"/>
    <w:rsid w:val="00094111"/>
    <w:rsid w:val="00096A83"/>
    <w:rsid w:val="000A2CB3"/>
    <w:rsid w:val="000A2CD5"/>
    <w:rsid w:val="000B02BB"/>
    <w:rsid w:val="000B1936"/>
    <w:rsid w:val="000B1FC8"/>
    <w:rsid w:val="000B22FE"/>
    <w:rsid w:val="000B2B9F"/>
    <w:rsid w:val="000B5015"/>
    <w:rsid w:val="000B788F"/>
    <w:rsid w:val="000C0031"/>
    <w:rsid w:val="000C14C0"/>
    <w:rsid w:val="000C1F7B"/>
    <w:rsid w:val="000C2074"/>
    <w:rsid w:val="000C292F"/>
    <w:rsid w:val="000C2B5C"/>
    <w:rsid w:val="000C4E42"/>
    <w:rsid w:val="000C634B"/>
    <w:rsid w:val="000D0977"/>
    <w:rsid w:val="000D194E"/>
    <w:rsid w:val="000D3E5A"/>
    <w:rsid w:val="000D4E36"/>
    <w:rsid w:val="000D66AA"/>
    <w:rsid w:val="000D6CA4"/>
    <w:rsid w:val="000E2CBE"/>
    <w:rsid w:val="000E543F"/>
    <w:rsid w:val="000E62FE"/>
    <w:rsid w:val="000F18E7"/>
    <w:rsid w:val="000F1E8A"/>
    <w:rsid w:val="000F2441"/>
    <w:rsid w:val="000F31C9"/>
    <w:rsid w:val="000F39CA"/>
    <w:rsid w:val="000F67D8"/>
    <w:rsid w:val="00101FE5"/>
    <w:rsid w:val="001025AD"/>
    <w:rsid w:val="0010279C"/>
    <w:rsid w:val="0010385F"/>
    <w:rsid w:val="00104F2B"/>
    <w:rsid w:val="00106C08"/>
    <w:rsid w:val="001161E4"/>
    <w:rsid w:val="00116B3F"/>
    <w:rsid w:val="001244A9"/>
    <w:rsid w:val="00125A26"/>
    <w:rsid w:val="00125E91"/>
    <w:rsid w:val="00131F12"/>
    <w:rsid w:val="001323E0"/>
    <w:rsid w:val="00135321"/>
    <w:rsid w:val="00140199"/>
    <w:rsid w:val="0014039C"/>
    <w:rsid w:val="0014207C"/>
    <w:rsid w:val="00142A38"/>
    <w:rsid w:val="00142AC9"/>
    <w:rsid w:val="001441E8"/>
    <w:rsid w:val="001456E7"/>
    <w:rsid w:val="0015034B"/>
    <w:rsid w:val="001509F2"/>
    <w:rsid w:val="0015376F"/>
    <w:rsid w:val="00154218"/>
    <w:rsid w:val="001546BF"/>
    <w:rsid w:val="001560D1"/>
    <w:rsid w:val="001570EB"/>
    <w:rsid w:val="00157B60"/>
    <w:rsid w:val="001614E0"/>
    <w:rsid w:val="00161FB7"/>
    <w:rsid w:val="00162CDA"/>
    <w:rsid w:val="0016302D"/>
    <w:rsid w:val="0016506B"/>
    <w:rsid w:val="00166170"/>
    <w:rsid w:val="00166B73"/>
    <w:rsid w:val="00167048"/>
    <w:rsid w:val="00167715"/>
    <w:rsid w:val="00167F0A"/>
    <w:rsid w:val="00171BD8"/>
    <w:rsid w:val="0017653E"/>
    <w:rsid w:val="001808A0"/>
    <w:rsid w:val="00180CCF"/>
    <w:rsid w:val="00181FFD"/>
    <w:rsid w:val="0018254B"/>
    <w:rsid w:val="00182B01"/>
    <w:rsid w:val="001840D2"/>
    <w:rsid w:val="0018435A"/>
    <w:rsid w:val="001859C2"/>
    <w:rsid w:val="00187F3F"/>
    <w:rsid w:val="00190CC7"/>
    <w:rsid w:val="00191487"/>
    <w:rsid w:val="00192824"/>
    <w:rsid w:val="00193CDA"/>
    <w:rsid w:val="001966D7"/>
    <w:rsid w:val="0019702E"/>
    <w:rsid w:val="001A0FF1"/>
    <w:rsid w:val="001A4359"/>
    <w:rsid w:val="001A4915"/>
    <w:rsid w:val="001A4ABA"/>
    <w:rsid w:val="001A6DAD"/>
    <w:rsid w:val="001A7591"/>
    <w:rsid w:val="001B0EBB"/>
    <w:rsid w:val="001B3CD4"/>
    <w:rsid w:val="001B5082"/>
    <w:rsid w:val="001B7238"/>
    <w:rsid w:val="001C2ADC"/>
    <w:rsid w:val="001C4034"/>
    <w:rsid w:val="001C4D2E"/>
    <w:rsid w:val="001C50CB"/>
    <w:rsid w:val="001C512F"/>
    <w:rsid w:val="001C5207"/>
    <w:rsid w:val="001C67AC"/>
    <w:rsid w:val="001C7E35"/>
    <w:rsid w:val="001D0544"/>
    <w:rsid w:val="001D14F0"/>
    <w:rsid w:val="001D341B"/>
    <w:rsid w:val="001D3587"/>
    <w:rsid w:val="001D7456"/>
    <w:rsid w:val="001D7F5C"/>
    <w:rsid w:val="001E02FE"/>
    <w:rsid w:val="001E13BF"/>
    <w:rsid w:val="001E2104"/>
    <w:rsid w:val="001E3C06"/>
    <w:rsid w:val="001E4DFE"/>
    <w:rsid w:val="001E6692"/>
    <w:rsid w:val="001E7BD7"/>
    <w:rsid w:val="001F0037"/>
    <w:rsid w:val="001F0A34"/>
    <w:rsid w:val="001F0BE9"/>
    <w:rsid w:val="001F0FE8"/>
    <w:rsid w:val="001F1922"/>
    <w:rsid w:val="001F5350"/>
    <w:rsid w:val="001F7DB0"/>
    <w:rsid w:val="002000B9"/>
    <w:rsid w:val="00202D79"/>
    <w:rsid w:val="00205D2F"/>
    <w:rsid w:val="0020600A"/>
    <w:rsid w:val="0020702E"/>
    <w:rsid w:val="00210E08"/>
    <w:rsid w:val="00213F4C"/>
    <w:rsid w:val="002145D1"/>
    <w:rsid w:val="002149E3"/>
    <w:rsid w:val="00215E8F"/>
    <w:rsid w:val="002209D6"/>
    <w:rsid w:val="00220ABB"/>
    <w:rsid w:val="002213B1"/>
    <w:rsid w:val="00221D9F"/>
    <w:rsid w:val="00224B08"/>
    <w:rsid w:val="002259BE"/>
    <w:rsid w:val="0022747D"/>
    <w:rsid w:val="00231850"/>
    <w:rsid w:val="002322BB"/>
    <w:rsid w:val="00233A07"/>
    <w:rsid w:val="0023702C"/>
    <w:rsid w:val="00237943"/>
    <w:rsid w:val="00241CC8"/>
    <w:rsid w:val="00245400"/>
    <w:rsid w:val="00246B9B"/>
    <w:rsid w:val="00250FEF"/>
    <w:rsid w:val="00251254"/>
    <w:rsid w:val="00253051"/>
    <w:rsid w:val="002543B8"/>
    <w:rsid w:val="002548D1"/>
    <w:rsid w:val="00255B51"/>
    <w:rsid w:val="0026056F"/>
    <w:rsid w:val="0026277B"/>
    <w:rsid w:val="002656C8"/>
    <w:rsid w:val="00271F91"/>
    <w:rsid w:val="0027283B"/>
    <w:rsid w:val="00273559"/>
    <w:rsid w:val="00274392"/>
    <w:rsid w:val="0028019B"/>
    <w:rsid w:val="00283CAB"/>
    <w:rsid w:val="00286C92"/>
    <w:rsid w:val="00287370"/>
    <w:rsid w:val="0028772B"/>
    <w:rsid w:val="00287A95"/>
    <w:rsid w:val="00290F2F"/>
    <w:rsid w:val="0029107D"/>
    <w:rsid w:val="00291123"/>
    <w:rsid w:val="00291911"/>
    <w:rsid w:val="00292AEE"/>
    <w:rsid w:val="00293255"/>
    <w:rsid w:val="002943AC"/>
    <w:rsid w:val="00294AE9"/>
    <w:rsid w:val="002A0238"/>
    <w:rsid w:val="002A2602"/>
    <w:rsid w:val="002A3FEF"/>
    <w:rsid w:val="002A4F0E"/>
    <w:rsid w:val="002A75E8"/>
    <w:rsid w:val="002B36BB"/>
    <w:rsid w:val="002B48A0"/>
    <w:rsid w:val="002B4A5D"/>
    <w:rsid w:val="002B54A6"/>
    <w:rsid w:val="002C4D4D"/>
    <w:rsid w:val="002C5BD7"/>
    <w:rsid w:val="002C7234"/>
    <w:rsid w:val="002C795A"/>
    <w:rsid w:val="002D0036"/>
    <w:rsid w:val="002D1874"/>
    <w:rsid w:val="002D255B"/>
    <w:rsid w:val="002D275F"/>
    <w:rsid w:val="002D48BB"/>
    <w:rsid w:val="002D4934"/>
    <w:rsid w:val="002D522E"/>
    <w:rsid w:val="002D791C"/>
    <w:rsid w:val="002E1088"/>
    <w:rsid w:val="002E12CA"/>
    <w:rsid w:val="002E1DF4"/>
    <w:rsid w:val="002E1E8D"/>
    <w:rsid w:val="002E3DD5"/>
    <w:rsid w:val="002E629A"/>
    <w:rsid w:val="002E6C2F"/>
    <w:rsid w:val="002E74FA"/>
    <w:rsid w:val="002F388E"/>
    <w:rsid w:val="002F3EE9"/>
    <w:rsid w:val="002F4605"/>
    <w:rsid w:val="002F6F08"/>
    <w:rsid w:val="002F797F"/>
    <w:rsid w:val="003001F1"/>
    <w:rsid w:val="00302474"/>
    <w:rsid w:val="0030377A"/>
    <w:rsid w:val="00303946"/>
    <w:rsid w:val="00304193"/>
    <w:rsid w:val="003065D6"/>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BDE"/>
    <w:rsid w:val="00333FAA"/>
    <w:rsid w:val="003355D7"/>
    <w:rsid w:val="0033656D"/>
    <w:rsid w:val="00337D78"/>
    <w:rsid w:val="00340394"/>
    <w:rsid w:val="00345876"/>
    <w:rsid w:val="003465B3"/>
    <w:rsid w:val="00346EEB"/>
    <w:rsid w:val="003472CA"/>
    <w:rsid w:val="003521BC"/>
    <w:rsid w:val="0035290A"/>
    <w:rsid w:val="00353DC3"/>
    <w:rsid w:val="0035555F"/>
    <w:rsid w:val="0035780C"/>
    <w:rsid w:val="0036201C"/>
    <w:rsid w:val="003625E3"/>
    <w:rsid w:val="003634DA"/>
    <w:rsid w:val="003639E3"/>
    <w:rsid w:val="0036495E"/>
    <w:rsid w:val="003663FE"/>
    <w:rsid w:val="00366E76"/>
    <w:rsid w:val="003678C0"/>
    <w:rsid w:val="00373E71"/>
    <w:rsid w:val="00374E1F"/>
    <w:rsid w:val="003756B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222F"/>
    <w:rsid w:val="003B0005"/>
    <w:rsid w:val="003B07A5"/>
    <w:rsid w:val="003B0B81"/>
    <w:rsid w:val="003B2B91"/>
    <w:rsid w:val="003B3385"/>
    <w:rsid w:val="003B3BC2"/>
    <w:rsid w:val="003B40B3"/>
    <w:rsid w:val="003B445A"/>
    <w:rsid w:val="003C21F4"/>
    <w:rsid w:val="003C315C"/>
    <w:rsid w:val="003C4532"/>
    <w:rsid w:val="003C68E4"/>
    <w:rsid w:val="003C7A65"/>
    <w:rsid w:val="003D275F"/>
    <w:rsid w:val="003D291D"/>
    <w:rsid w:val="003D2E0C"/>
    <w:rsid w:val="003D3E21"/>
    <w:rsid w:val="003D4346"/>
    <w:rsid w:val="003D56ED"/>
    <w:rsid w:val="003D7AB8"/>
    <w:rsid w:val="003E2127"/>
    <w:rsid w:val="003E3ABA"/>
    <w:rsid w:val="003E498C"/>
    <w:rsid w:val="003E56AE"/>
    <w:rsid w:val="003F2777"/>
    <w:rsid w:val="003F2C5D"/>
    <w:rsid w:val="003F3AFD"/>
    <w:rsid w:val="003F756D"/>
    <w:rsid w:val="003F77BB"/>
    <w:rsid w:val="00400629"/>
    <w:rsid w:val="004029CC"/>
    <w:rsid w:val="00403304"/>
    <w:rsid w:val="004076C8"/>
    <w:rsid w:val="00411336"/>
    <w:rsid w:val="004128EA"/>
    <w:rsid w:val="00413458"/>
    <w:rsid w:val="004147C5"/>
    <w:rsid w:val="004153B6"/>
    <w:rsid w:val="00415CC1"/>
    <w:rsid w:val="004177DA"/>
    <w:rsid w:val="004207E3"/>
    <w:rsid w:val="00421A1D"/>
    <w:rsid w:val="00421A4C"/>
    <w:rsid w:val="0042308A"/>
    <w:rsid w:val="004238C2"/>
    <w:rsid w:val="0042469F"/>
    <w:rsid w:val="00427B10"/>
    <w:rsid w:val="004325F9"/>
    <w:rsid w:val="0043268A"/>
    <w:rsid w:val="00433A35"/>
    <w:rsid w:val="00435B5D"/>
    <w:rsid w:val="004363F7"/>
    <w:rsid w:val="00436A0B"/>
    <w:rsid w:val="00440868"/>
    <w:rsid w:val="004409DB"/>
    <w:rsid w:val="0044525C"/>
    <w:rsid w:val="0044683D"/>
    <w:rsid w:val="00447352"/>
    <w:rsid w:val="00452CAC"/>
    <w:rsid w:val="0045387F"/>
    <w:rsid w:val="004553F1"/>
    <w:rsid w:val="0045548A"/>
    <w:rsid w:val="004558FE"/>
    <w:rsid w:val="0045655D"/>
    <w:rsid w:val="00460592"/>
    <w:rsid w:val="00466197"/>
    <w:rsid w:val="00467517"/>
    <w:rsid w:val="00471C1F"/>
    <w:rsid w:val="00472810"/>
    <w:rsid w:val="00475834"/>
    <w:rsid w:val="004809FA"/>
    <w:rsid w:val="00481735"/>
    <w:rsid w:val="0048175C"/>
    <w:rsid w:val="00482AE7"/>
    <w:rsid w:val="004863F0"/>
    <w:rsid w:val="00487CDB"/>
    <w:rsid w:val="00492B67"/>
    <w:rsid w:val="0049471D"/>
    <w:rsid w:val="00494906"/>
    <w:rsid w:val="00495315"/>
    <w:rsid w:val="004962B1"/>
    <w:rsid w:val="00496F06"/>
    <w:rsid w:val="004A1570"/>
    <w:rsid w:val="004A1914"/>
    <w:rsid w:val="004A1E2D"/>
    <w:rsid w:val="004A72AA"/>
    <w:rsid w:val="004B2834"/>
    <w:rsid w:val="004B4A22"/>
    <w:rsid w:val="004C0103"/>
    <w:rsid w:val="004C08EA"/>
    <w:rsid w:val="004C4A75"/>
    <w:rsid w:val="004C5ADB"/>
    <w:rsid w:val="004C5DDA"/>
    <w:rsid w:val="004D2DA0"/>
    <w:rsid w:val="004D3E97"/>
    <w:rsid w:val="004D700A"/>
    <w:rsid w:val="004E14A4"/>
    <w:rsid w:val="004E16FA"/>
    <w:rsid w:val="004E3365"/>
    <w:rsid w:val="004E537F"/>
    <w:rsid w:val="004E6609"/>
    <w:rsid w:val="004E719D"/>
    <w:rsid w:val="004E7D57"/>
    <w:rsid w:val="004F0BF8"/>
    <w:rsid w:val="004F19F0"/>
    <w:rsid w:val="004F54BD"/>
    <w:rsid w:val="004F56C5"/>
    <w:rsid w:val="004F6F3C"/>
    <w:rsid w:val="004F7439"/>
    <w:rsid w:val="005002A9"/>
    <w:rsid w:val="00501E74"/>
    <w:rsid w:val="00503384"/>
    <w:rsid w:val="005041C2"/>
    <w:rsid w:val="005054F7"/>
    <w:rsid w:val="00505E6A"/>
    <w:rsid w:val="005078C2"/>
    <w:rsid w:val="0051010C"/>
    <w:rsid w:val="00510718"/>
    <w:rsid w:val="005129D2"/>
    <w:rsid w:val="00513EC1"/>
    <w:rsid w:val="00514C91"/>
    <w:rsid w:val="005178DB"/>
    <w:rsid w:val="00517C7D"/>
    <w:rsid w:val="005223FE"/>
    <w:rsid w:val="00522D5D"/>
    <w:rsid w:val="0052515D"/>
    <w:rsid w:val="00525C08"/>
    <w:rsid w:val="005262CD"/>
    <w:rsid w:val="00526AA6"/>
    <w:rsid w:val="00531CAE"/>
    <w:rsid w:val="005354D0"/>
    <w:rsid w:val="00535922"/>
    <w:rsid w:val="00537469"/>
    <w:rsid w:val="0054172C"/>
    <w:rsid w:val="0054323D"/>
    <w:rsid w:val="00543B07"/>
    <w:rsid w:val="00543BE2"/>
    <w:rsid w:val="0054590F"/>
    <w:rsid w:val="005459EC"/>
    <w:rsid w:val="00546EA2"/>
    <w:rsid w:val="005475D3"/>
    <w:rsid w:val="00547729"/>
    <w:rsid w:val="00550E7A"/>
    <w:rsid w:val="00552794"/>
    <w:rsid w:val="00555A6E"/>
    <w:rsid w:val="0055673A"/>
    <w:rsid w:val="0055724E"/>
    <w:rsid w:val="0055733D"/>
    <w:rsid w:val="00560DEF"/>
    <w:rsid w:val="00562685"/>
    <w:rsid w:val="0056292F"/>
    <w:rsid w:val="0056344D"/>
    <w:rsid w:val="00563F4C"/>
    <w:rsid w:val="005641E0"/>
    <w:rsid w:val="00566489"/>
    <w:rsid w:val="00566F47"/>
    <w:rsid w:val="005709FA"/>
    <w:rsid w:val="005718B5"/>
    <w:rsid w:val="00571FB4"/>
    <w:rsid w:val="0057297F"/>
    <w:rsid w:val="00574596"/>
    <w:rsid w:val="00574F6C"/>
    <w:rsid w:val="005777E4"/>
    <w:rsid w:val="005808FB"/>
    <w:rsid w:val="00581486"/>
    <w:rsid w:val="00582605"/>
    <w:rsid w:val="00584430"/>
    <w:rsid w:val="005849F4"/>
    <w:rsid w:val="005854AF"/>
    <w:rsid w:val="00590489"/>
    <w:rsid w:val="00591016"/>
    <w:rsid w:val="00593F3C"/>
    <w:rsid w:val="005A045F"/>
    <w:rsid w:val="005A4F77"/>
    <w:rsid w:val="005A639A"/>
    <w:rsid w:val="005B0A85"/>
    <w:rsid w:val="005B0B45"/>
    <w:rsid w:val="005B3414"/>
    <w:rsid w:val="005B3F67"/>
    <w:rsid w:val="005B6114"/>
    <w:rsid w:val="005B6656"/>
    <w:rsid w:val="005B6671"/>
    <w:rsid w:val="005C1709"/>
    <w:rsid w:val="005C295F"/>
    <w:rsid w:val="005C7899"/>
    <w:rsid w:val="005D0571"/>
    <w:rsid w:val="005D3E95"/>
    <w:rsid w:val="005D40CF"/>
    <w:rsid w:val="005D45AE"/>
    <w:rsid w:val="005D4911"/>
    <w:rsid w:val="005D548F"/>
    <w:rsid w:val="005D55FF"/>
    <w:rsid w:val="005D6161"/>
    <w:rsid w:val="005D6D14"/>
    <w:rsid w:val="005D6EF5"/>
    <w:rsid w:val="005D73B5"/>
    <w:rsid w:val="005E2FCC"/>
    <w:rsid w:val="005E3A10"/>
    <w:rsid w:val="005E4BA2"/>
    <w:rsid w:val="005E6695"/>
    <w:rsid w:val="005E7509"/>
    <w:rsid w:val="005F00A6"/>
    <w:rsid w:val="005F1E92"/>
    <w:rsid w:val="005F499E"/>
    <w:rsid w:val="00603BA2"/>
    <w:rsid w:val="00604E7A"/>
    <w:rsid w:val="00604F47"/>
    <w:rsid w:val="00605CEF"/>
    <w:rsid w:val="00605ED6"/>
    <w:rsid w:val="00607E22"/>
    <w:rsid w:val="006102CA"/>
    <w:rsid w:val="00613DAE"/>
    <w:rsid w:val="0061781A"/>
    <w:rsid w:val="0061783E"/>
    <w:rsid w:val="006226AE"/>
    <w:rsid w:val="00622798"/>
    <w:rsid w:val="006230CB"/>
    <w:rsid w:val="006238A9"/>
    <w:rsid w:val="006246C9"/>
    <w:rsid w:val="00626B92"/>
    <w:rsid w:val="00627E6E"/>
    <w:rsid w:val="00633771"/>
    <w:rsid w:val="006337F6"/>
    <w:rsid w:val="00635966"/>
    <w:rsid w:val="00636159"/>
    <w:rsid w:val="00636DE4"/>
    <w:rsid w:val="00640148"/>
    <w:rsid w:val="00641828"/>
    <w:rsid w:val="00641EF9"/>
    <w:rsid w:val="006424FA"/>
    <w:rsid w:val="00643710"/>
    <w:rsid w:val="0064455D"/>
    <w:rsid w:val="00645B8B"/>
    <w:rsid w:val="00647599"/>
    <w:rsid w:val="00650E15"/>
    <w:rsid w:val="006530E4"/>
    <w:rsid w:val="00654ABC"/>
    <w:rsid w:val="00655044"/>
    <w:rsid w:val="006617AD"/>
    <w:rsid w:val="006632EF"/>
    <w:rsid w:val="00663771"/>
    <w:rsid w:val="006653F7"/>
    <w:rsid w:val="00666922"/>
    <w:rsid w:val="00670F17"/>
    <w:rsid w:val="006710C7"/>
    <w:rsid w:val="006716EB"/>
    <w:rsid w:val="00672697"/>
    <w:rsid w:val="006739F8"/>
    <w:rsid w:val="00674E2D"/>
    <w:rsid w:val="00675F21"/>
    <w:rsid w:val="00676BE8"/>
    <w:rsid w:val="00677EC3"/>
    <w:rsid w:val="00685880"/>
    <w:rsid w:val="00685F8B"/>
    <w:rsid w:val="00687CA0"/>
    <w:rsid w:val="00690337"/>
    <w:rsid w:val="00693C15"/>
    <w:rsid w:val="006964E3"/>
    <w:rsid w:val="00696A83"/>
    <w:rsid w:val="0069703C"/>
    <w:rsid w:val="006A091A"/>
    <w:rsid w:val="006A200B"/>
    <w:rsid w:val="006A27CD"/>
    <w:rsid w:val="006A506A"/>
    <w:rsid w:val="006B0184"/>
    <w:rsid w:val="006B1286"/>
    <w:rsid w:val="006B3297"/>
    <w:rsid w:val="006B6BC5"/>
    <w:rsid w:val="006B7DEF"/>
    <w:rsid w:val="006B7F6A"/>
    <w:rsid w:val="006C059A"/>
    <w:rsid w:val="006C4484"/>
    <w:rsid w:val="006C580A"/>
    <w:rsid w:val="006C5ED7"/>
    <w:rsid w:val="006C6B72"/>
    <w:rsid w:val="006D1E69"/>
    <w:rsid w:val="006D376F"/>
    <w:rsid w:val="006D3BD9"/>
    <w:rsid w:val="006D627B"/>
    <w:rsid w:val="006D67FB"/>
    <w:rsid w:val="006E20C9"/>
    <w:rsid w:val="006E4E0C"/>
    <w:rsid w:val="006E608B"/>
    <w:rsid w:val="006E61F6"/>
    <w:rsid w:val="006F057C"/>
    <w:rsid w:val="006F1A4C"/>
    <w:rsid w:val="006F22DA"/>
    <w:rsid w:val="006F2EB3"/>
    <w:rsid w:val="006F3BB5"/>
    <w:rsid w:val="006F61E1"/>
    <w:rsid w:val="006F6988"/>
    <w:rsid w:val="00703AC2"/>
    <w:rsid w:val="00703EAC"/>
    <w:rsid w:val="00705694"/>
    <w:rsid w:val="00707EA4"/>
    <w:rsid w:val="00710E25"/>
    <w:rsid w:val="007116B1"/>
    <w:rsid w:val="007123C2"/>
    <w:rsid w:val="00714BEE"/>
    <w:rsid w:val="007150B2"/>
    <w:rsid w:val="007163A8"/>
    <w:rsid w:val="00720AC6"/>
    <w:rsid w:val="00721215"/>
    <w:rsid w:val="0072367F"/>
    <w:rsid w:val="00723BA5"/>
    <w:rsid w:val="00725DAB"/>
    <w:rsid w:val="00731669"/>
    <w:rsid w:val="007323B9"/>
    <w:rsid w:val="0073378D"/>
    <w:rsid w:val="007347CA"/>
    <w:rsid w:val="00735827"/>
    <w:rsid w:val="0073664B"/>
    <w:rsid w:val="007372EA"/>
    <w:rsid w:val="007373F9"/>
    <w:rsid w:val="007400CF"/>
    <w:rsid w:val="00745F89"/>
    <w:rsid w:val="00747A26"/>
    <w:rsid w:val="00747AAF"/>
    <w:rsid w:val="007518BE"/>
    <w:rsid w:val="007529DD"/>
    <w:rsid w:val="00752C7F"/>
    <w:rsid w:val="00753668"/>
    <w:rsid w:val="00754BFA"/>
    <w:rsid w:val="00755B7D"/>
    <w:rsid w:val="007566B2"/>
    <w:rsid w:val="007567D8"/>
    <w:rsid w:val="0076086B"/>
    <w:rsid w:val="007608E1"/>
    <w:rsid w:val="007647E7"/>
    <w:rsid w:val="00767501"/>
    <w:rsid w:val="007675BE"/>
    <w:rsid w:val="00773028"/>
    <w:rsid w:val="00782198"/>
    <w:rsid w:val="00786C4E"/>
    <w:rsid w:val="00790171"/>
    <w:rsid w:val="00790FC2"/>
    <w:rsid w:val="00791520"/>
    <w:rsid w:val="007919FF"/>
    <w:rsid w:val="007935C5"/>
    <w:rsid w:val="00795096"/>
    <w:rsid w:val="00795B93"/>
    <w:rsid w:val="007965C1"/>
    <w:rsid w:val="00796C25"/>
    <w:rsid w:val="00796E32"/>
    <w:rsid w:val="007A19F0"/>
    <w:rsid w:val="007A2971"/>
    <w:rsid w:val="007A3D66"/>
    <w:rsid w:val="007A4D31"/>
    <w:rsid w:val="007A7B72"/>
    <w:rsid w:val="007B11AF"/>
    <w:rsid w:val="007B23FC"/>
    <w:rsid w:val="007C00E4"/>
    <w:rsid w:val="007C0D59"/>
    <w:rsid w:val="007C28B4"/>
    <w:rsid w:val="007C38F9"/>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C91"/>
    <w:rsid w:val="007F5646"/>
    <w:rsid w:val="007F598E"/>
    <w:rsid w:val="00800A69"/>
    <w:rsid w:val="00800D4F"/>
    <w:rsid w:val="00802D8D"/>
    <w:rsid w:val="00803104"/>
    <w:rsid w:val="008034BB"/>
    <w:rsid w:val="00806807"/>
    <w:rsid w:val="00807134"/>
    <w:rsid w:val="00807F64"/>
    <w:rsid w:val="008104FD"/>
    <w:rsid w:val="00812901"/>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5266D"/>
    <w:rsid w:val="00854BE1"/>
    <w:rsid w:val="00855723"/>
    <w:rsid w:val="008567F1"/>
    <w:rsid w:val="00856C52"/>
    <w:rsid w:val="00860FB9"/>
    <w:rsid w:val="00862E6C"/>
    <w:rsid w:val="00866A99"/>
    <w:rsid w:val="00867DDC"/>
    <w:rsid w:val="0087055B"/>
    <w:rsid w:val="00876F40"/>
    <w:rsid w:val="00877948"/>
    <w:rsid w:val="00877B4A"/>
    <w:rsid w:val="008816D8"/>
    <w:rsid w:val="00881922"/>
    <w:rsid w:val="008837A9"/>
    <w:rsid w:val="008867EF"/>
    <w:rsid w:val="0089102A"/>
    <w:rsid w:val="00892B68"/>
    <w:rsid w:val="00893DE8"/>
    <w:rsid w:val="008940FC"/>
    <w:rsid w:val="00894828"/>
    <w:rsid w:val="00894C59"/>
    <w:rsid w:val="008977B2"/>
    <w:rsid w:val="008A1651"/>
    <w:rsid w:val="008A39F5"/>
    <w:rsid w:val="008A3B80"/>
    <w:rsid w:val="008A4702"/>
    <w:rsid w:val="008A595E"/>
    <w:rsid w:val="008A5AA0"/>
    <w:rsid w:val="008A5DAA"/>
    <w:rsid w:val="008B07FC"/>
    <w:rsid w:val="008B2F9A"/>
    <w:rsid w:val="008B30EC"/>
    <w:rsid w:val="008B4871"/>
    <w:rsid w:val="008B6412"/>
    <w:rsid w:val="008C0C2B"/>
    <w:rsid w:val="008C21B1"/>
    <w:rsid w:val="008C35E5"/>
    <w:rsid w:val="008C3F8E"/>
    <w:rsid w:val="008C47FA"/>
    <w:rsid w:val="008C77BE"/>
    <w:rsid w:val="008D011A"/>
    <w:rsid w:val="008D0129"/>
    <w:rsid w:val="008D0238"/>
    <w:rsid w:val="008D13D7"/>
    <w:rsid w:val="008D3BEB"/>
    <w:rsid w:val="008D6269"/>
    <w:rsid w:val="008D669F"/>
    <w:rsid w:val="008D7EB3"/>
    <w:rsid w:val="008E08C6"/>
    <w:rsid w:val="008E20FC"/>
    <w:rsid w:val="008E224D"/>
    <w:rsid w:val="008E4057"/>
    <w:rsid w:val="008E59B8"/>
    <w:rsid w:val="008E6E10"/>
    <w:rsid w:val="008F076A"/>
    <w:rsid w:val="008F1BA1"/>
    <w:rsid w:val="008F260D"/>
    <w:rsid w:val="008F35E7"/>
    <w:rsid w:val="008F66EC"/>
    <w:rsid w:val="009037BA"/>
    <w:rsid w:val="009039A9"/>
    <w:rsid w:val="00904C87"/>
    <w:rsid w:val="00906499"/>
    <w:rsid w:val="00913AC0"/>
    <w:rsid w:val="00913D8A"/>
    <w:rsid w:val="00916452"/>
    <w:rsid w:val="009172FA"/>
    <w:rsid w:val="00923DC1"/>
    <w:rsid w:val="009247F9"/>
    <w:rsid w:val="0092530B"/>
    <w:rsid w:val="009270E6"/>
    <w:rsid w:val="009272B6"/>
    <w:rsid w:val="00927E8A"/>
    <w:rsid w:val="0093325E"/>
    <w:rsid w:val="009333ED"/>
    <w:rsid w:val="00933B50"/>
    <w:rsid w:val="009340D2"/>
    <w:rsid w:val="0093766B"/>
    <w:rsid w:val="00940968"/>
    <w:rsid w:val="0094208C"/>
    <w:rsid w:val="0094235B"/>
    <w:rsid w:val="00942F17"/>
    <w:rsid w:val="009472C5"/>
    <w:rsid w:val="00947577"/>
    <w:rsid w:val="009477E5"/>
    <w:rsid w:val="00951BDC"/>
    <w:rsid w:val="0095229C"/>
    <w:rsid w:val="009528E2"/>
    <w:rsid w:val="00952CEF"/>
    <w:rsid w:val="00953A11"/>
    <w:rsid w:val="00953A2E"/>
    <w:rsid w:val="00953FAC"/>
    <w:rsid w:val="00954439"/>
    <w:rsid w:val="00954920"/>
    <w:rsid w:val="00955421"/>
    <w:rsid w:val="00960DF8"/>
    <w:rsid w:val="009651DB"/>
    <w:rsid w:val="00966427"/>
    <w:rsid w:val="00974340"/>
    <w:rsid w:val="00976821"/>
    <w:rsid w:val="009776C7"/>
    <w:rsid w:val="009804EF"/>
    <w:rsid w:val="00982248"/>
    <w:rsid w:val="009826C6"/>
    <w:rsid w:val="00983E4B"/>
    <w:rsid w:val="0098530B"/>
    <w:rsid w:val="00986336"/>
    <w:rsid w:val="00990E9C"/>
    <w:rsid w:val="00990FE6"/>
    <w:rsid w:val="00993308"/>
    <w:rsid w:val="009934CC"/>
    <w:rsid w:val="00994542"/>
    <w:rsid w:val="00994908"/>
    <w:rsid w:val="00997C6D"/>
    <w:rsid w:val="009A07AE"/>
    <w:rsid w:val="009A46D1"/>
    <w:rsid w:val="009A7507"/>
    <w:rsid w:val="009A7E9D"/>
    <w:rsid w:val="009B160B"/>
    <w:rsid w:val="009B18B7"/>
    <w:rsid w:val="009B2679"/>
    <w:rsid w:val="009B2C8F"/>
    <w:rsid w:val="009B4710"/>
    <w:rsid w:val="009B4FEA"/>
    <w:rsid w:val="009B67AB"/>
    <w:rsid w:val="009B6E95"/>
    <w:rsid w:val="009C237B"/>
    <w:rsid w:val="009C246D"/>
    <w:rsid w:val="009C523F"/>
    <w:rsid w:val="009C6BE6"/>
    <w:rsid w:val="009C7957"/>
    <w:rsid w:val="009D164A"/>
    <w:rsid w:val="009D389A"/>
    <w:rsid w:val="009D69C5"/>
    <w:rsid w:val="009D7930"/>
    <w:rsid w:val="009E4B36"/>
    <w:rsid w:val="009E4D80"/>
    <w:rsid w:val="009E52CC"/>
    <w:rsid w:val="009E5A93"/>
    <w:rsid w:val="009E5EB5"/>
    <w:rsid w:val="009F07ED"/>
    <w:rsid w:val="009F1366"/>
    <w:rsid w:val="009F29B3"/>
    <w:rsid w:val="009F3F89"/>
    <w:rsid w:val="009F65A2"/>
    <w:rsid w:val="00A05F92"/>
    <w:rsid w:val="00A10B01"/>
    <w:rsid w:val="00A124A1"/>
    <w:rsid w:val="00A1258C"/>
    <w:rsid w:val="00A1301D"/>
    <w:rsid w:val="00A14195"/>
    <w:rsid w:val="00A1516C"/>
    <w:rsid w:val="00A16FB7"/>
    <w:rsid w:val="00A20113"/>
    <w:rsid w:val="00A20D78"/>
    <w:rsid w:val="00A2107D"/>
    <w:rsid w:val="00A2215F"/>
    <w:rsid w:val="00A22839"/>
    <w:rsid w:val="00A23E19"/>
    <w:rsid w:val="00A25CEF"/>
    <w:rsid w:val="00A26DD6"/>
    <w:rsid w:val="00A278D3"/>
    <w:rsid w:val="00A31A56"/>
    <w:rsid w:val="00A31B66"/>
    <w:rsid w:val="00A33185"/>
    <w:rsid w:val="00A3338A"/>
    <w:rsid w:val="00A33509"/>
    <w:rsid w:val="00A33FB5"/>
    <w:rsid w:val="00A344B1"/>
    <w:rsid w:val="00A34A58"/>
    <w:rsid w:val="00A34E3B"/>
    <w:rsid w:val="00A41043"/>
    <w:rsid w:val="00A41221"/>
    <w:rsid w:val="00A440F6"/>
    <w:rsid w:val="00A44B40"/>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70641"/>
    <w:rsid w:val="00A71395"/>
    <w:rsid w:val="00A71BFD"/>
    <w:rsid w:val="00A71CD7"/>
    <w:rsid w:val="00A7210D"/>
    <w:rsid w:val="00A7271A"/>
    <w:rsid w:val="00A72DD7"/>
    <w:rsid w:val="00A72F97"/>
    <w:rsid w:val="00A80770"/>
    <w:rsid w:val="00A80821"/>
    <w:rsid w:val="00A81A0F"/>
    <w:rsid w:val="00A81E19"/>
    <w:rsid w:val="00A91852"/>
    <w:rsid w:val="00A91C08"/>
    <w:rsid w:val="00A953C2"/>
    <w:rsid w:val="00A9620D"/>
    <w:rsid w:val="00A976C1"/>
    <w:rsid w:val="00AA1332"/>
    <w:rsid w:val="00AA41E5"/>
    <w:rsid w:val="00AA528F"/>
    <w:rsid w:val="00AA5B4B"/>
    <w:rsid w:val="00AA6AFE"/>
    <w:rsid w:val="00AA6CE5"/>
    <w:rsid w:val="00AB03EE"/>
    <w:rsid w:val="00AB1262"/>
    <w:rsid w:val="00AB2633"/>
    <w:rsid w:val="00AB4082"/>
    <w:rsid w:val="00AB795F"/>
    <w:rsid w:val="00AC2437"/>
    <w:rsid w:val="00AC6312"/>
    <w:rsid w:val="00AC666D"/>
    <w:rsid w:val="00AD2A00"/>
    <w:rsid w:val="00AD3803"/>
    <w:rsid w:val="00AD4935"/>
    <w:rsid w:val="00AD4BD1"/>
    <w:rsid w:val="00AD4FF7"/>
    <w:rsid w:val="00AD6D80"/>
    <w:rsid w:val="00AD79C6"/>
    <w:rsid w:val="00AE3F29"/>
    <w:rsid w:val="00AE56BA"/>
    <w:rsid w:val="00AE640A"/>
    <w:rsid w:val="00AE7033"/>
    <w:rsid w:val="00AE7946"/>
    <w:rsid w:val="00AF011A"/>
    <w:rsid w:val="00AF2552"/>
    <w:rsid w:val="00AF347B"/>
    <w:rsid w:val="00AF3E9C"/>
    <w:rsid w:val="00AF517D"/>
    <w:rsid w:val="00AF59F9"/>
    <w:rsid w:val="00AF66F2"/>
    <w:rsid w:val="00AF770A"/>
    <w:rsid w:val="00B02D20"/>
    <w:rsid w:val="00B05C1A"/>
    <w:rsid w:val="00B05C35"/>
    <w:rsid w:val="00B06CC3"/>
    <w:rsid w:val="00B06E89"/>
    <w:rsid w:val="00B07CC8"/>
    <w:rsid w:val="00B1044F"/>
    <w:rsid w:val="00B1160D"/>
    <w:rsid w:val="00B11849"/>
    <w:rsid w:val="00B13FB7"/>
    <w:rsid w:val="00B159A3"/>
    <w:rsid w:val="00B1698A"/>
    <w:rsid w:val="00B17307"/>
    <w:rsid w:val="00B20310"/>
    <w:rsid w:val="00B21C50"/>
    <w:rsid w:val="00B228EA"/>
    <w:rsid w:val="00B27727"/>
    <w:rsid w:val="00B27CB1"/>
    <w:rsid w:val="00B329CE"/>
    <w:rsid w:val="00B36716"/>
    <w:rsid w:val="00B37833"/>
    <w:rsid w:val="00B42BF2"/>
    <w:rsid w:val="00B444E6"/>
    <w:rsid w:val="00B457DF"/>
    <w:rsid w:val="00B46B5E"/>
    <w:rsid w:val="00B51D00"/>
    <w:rsid w:val="00B52011"/>
    <w:rsid w:val="00B53EFF"/>
    <w:rsid w:val="00B543AB"/>
    <w:rsid w:val="00B5452E"/>
    <w:rsid w:val="00B54AFA"/>
    <w:rsid w:val="00B54B72"/>
    <w:rsid w:val="00B60475"/>
    <w:rsid w:val="00B61459"/>
    <w:rsid w:val="00B6360B"/>
    <w:rsid w:val="00B6533F"/>
    <w:rsid w:val="00B66810"/>
    <w:rsid w:val="00B671A4"/>
    <w:rsid w:val="00B7003E"/>
    <w:rsid w:val="00B731FC"/>
    <w:rsid w:val="00B75D7A"/>
    <w:rsid w:val="00B763F3"/>
    <w:rsid w:val="00B77CFB"/>
    <w:rsid w:val="00B804E8"/>
    <w:rsid w:val="00B82086"/>
    <w:rsid w:val="00B846B4"/>
    <w:rsid w:val="00B87D4F"/>
    <w:rsid w:val="00B94016"/>
    <w:rsid w:val="00B948C4"/>
    <w:rsid w:val="00B95259"/>
    <w:rsid w:val="00B9556A"/>
    <w:rsid w:val="00BA1B32"/>
    <w:rsid w:val="00BA2A1D"/>
    <w:rsid w:val="00BB25A7"/>
    <w:rsid w:val="00BB4188"/>
    <w:rsid w:val="00BB687F"/>
    <w:rsid w:val="00BB771D"/>
    <w:rsid w:val="00BC0021"/>
    <w:rsid w:val="00BC05A6"/>
    <w:rsid w:val="00BC0D49"/>
    <w:rsid w:val="00BC0E21"/>
    <w:rsid w:val="00BC1579"/>
    <w:rsid w:val="00BC200E"/>
    <w:rsid w:val="00BC206C"/>
    <w:rsid w:val="00BC3B81"/>
    <w:rsid w:val="00BC431A"/>
    <w:rsid w:val="00BC4624"/>
    <w:rsid w:val="00BC67C8"/>
    <w:rsid w:val="00BC6A1D"/>
    <w:rsid w:val="00BC70DB"/>
    <w:rsid w:val="00BC74D1"/>
    <w:rsid w:val="00BC77DF"/>
    <w:rsid w:val="00BD2759"/>
    <w:rsid w:val="00BD3890"/>
    <w:rsid w:val="00BD51A3"/>
    <w:rsid w:val="00BD571C"/>
    <w:rsid w:val="00BD5A5F"/>
    <w:rsid w:val="00BD6CCD"/>
    <w:rsid w:val="00BD6E46"/>
    <w:rsid w:val="00BD7350"/>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7863"/>
    <w:rsid w:val="00C102C7"/>
    <w:rsid w:val="00C1159D"/>
    <w:rsid w:val="00C119A2"/>
    <w:rsid w:val="00C128DD"/>
    <w:rsid w:val="00C1480B"/>
    <w:rsid w:val="00C17354"/>
    <w:rsid w:val="00C21509"/>
    <w:rsid w:val="00C27838"/>
    <w:rsid w:val="00C327E5"/>
    <w:rsid w:val="00C34991"/>
    <w:rsid w:val="00C372C5"/>
    <w:rsid w:val="00C373EB"/>
    <w:rsid w:val="00C407B8"/>
    <w:rsid w:val="00C414D4"/>
    <w:rsid w:val="00C43D14"/>
    <w:rsid w:val="00C455B5"/>
    <w:rsid w:val="00C462A0"/>
    <w:rsid w:val="00C46BD5"/>
    <w:rsid w:val="00C51080"/>
    <w:rsid w:val="00C51734"/>
    <w:rsid w:val="00C520AF"/>
    <w:rsid w:val="00C52FD6"/>
    <w:rsid w:val="00C53E8A"/>
    <w:rsid w:val="00C54C4C"/>
    <w:rsid w:val="00C57267"/>
    <w:rsid w:val="00C573AB"/>
    <w:rsid w:val="00C57DF6"/>
    <w:rsid w:val="00C607DA"/>
    <w:rsid w:val="00C61021"/>
    <w:rsid w:val="00C61D7F"/>
    <w:rsid w:val="00C6244F"/>
    <w:rsid w:val="00C62B63"/>
    <w:rsid w:val="00C65259"/>
    <w:rsid w:val="00C6595B"/>
    <w:rsid w:val="00C66DF0"/>
    <w:rsid w:val="00C7052B"/>
    <w:rsid w:val="00C72B5B"/>
    <w:rsid w:val="00C742E3"/>
    <w:rsid w:val="00C75F94"/>
    <w:rsid w:val="00C761D4"/>
    <w:rsid w:val="00C76F6F"/>
    <w:rsid w:val="00C8102B"/>
    <w:rsid w:val="00C810A7"/>
    <w:rsid w:val="00C811D6"/>
    <w:rsid w:val="00C81C10"/>
    <w:rsid w:val="00C8506F"/>
    <w:rsid w:val="00C91150"/>
    <w:rsid w:val="00C91ADC"/>
    <w:rsid w:val="00C91E39"/>
    <w:rsid w:val="00C920C9"/>
    <w:rsid w:val="00C93E9C"/>
    <w:rsid w:val="00C942E1"/>
    <w:rsid w:val="00C94F64"/>
    <w:rsid w:val="00C97CDB"/>
    <w:rsid w:val="00CA0075"/>
    <w:rsid w:val="00CA2FF3"/>
    <w:rsid w:val="00CA4CC4"/>
    <w:rsid w:val="00CA5C65"/>
    <w:rsid w:val="00CA70AF"/>
    <w:rsid w:val="00CA79C7"/>
    <w:rsid w:val="00CB01F3"/>
    <w:rsid w:val="00CB1CAF"/>
    <w:rsid w:val="00CB1DF2"/>
    <w:rsid w:val="00CB25C5"/>
    <w:rsid w:val="00CB2A23"/>
    <w:rsid w:val="00CB2AAA"/>
    <w:rsid w:val="00CB3F47"/>
    <w:rsid w:val="00CB4CE7"/>
    <w:rsid w:val="00CB53AB"/>
    <w:rsid w:val="00CB6DCF"/>
    <w:rsid w:val="00CC17C2"/>
    <w:rsid w:val="00CC258C"/>
    <w:rsid w:val="00CC2797"/>
    <w:rsid w:val="00CC368A"/>
    <w:rsid w:val="00CC3A3C"/>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7D5D"/>
    <w:rsid w:val="00CE48E2"/>
    <w:rsid w:val="00CE59BC"/>
    <w:rsid w:val="00CE6A9E"/>
    <w:rsid w:val="00CF0FC4"/>
    <w:rsid w:val="00CF150C"/>
    <w:rsid w:val="00CF1706"/>
    <w:rsid w:val="00CF1E61"/>
    <w:rsid w:val="00CF48EF"/>
    <w:rsid w:val="00CF613A"/>
    <w:rsid w:val="00CF6932"/>
    <w:rsid w:val="00D01F52"/>
    <w:rsid w:val="00D01FE3"/>
    <w:rsid w:val="00D03ACC"/>
    <w:rsid w:val="00D04F65"/>
    <w:rsid w:val="00D06CA3"/>
    <w:rsid w:val="00D071BB"/>
    <w:rsid w:val="00D07F46"/>
    <w:rsid w:val="00D122E9"/>
    <w:rsid w:val="00D12E6F"/>
    <w:rsid w:val="00D1552E"/>
    <w:rsid w:val="00D170E5"/>
    <w:rsid w:val="00D207C1"/>
    <w:rsid w:val="00D21155"/>
    <w:rsid w:val="00D2600C"/>
    <w:rsid w:val="00D26D87"/>
    <w:rsid w:val="00D31229"/>
    <w:rsid w:val="00D3271A"/>
    <w:rsid w:val="00D33134"/>
    <w:rsid w:val="00D34688"/>
    <w:rsid w:val="00D373C8"/>
    <w:rsid w:val="00D37F2F"/>
    <w:rsid w:val="00D40765"/>
    <w:rsid w:val="00D415B9"/>
    <w:rsid w:val="00D461E5"/>
    <w:rsid w:val="00D47C3D"/>
    <w:rsid w:val="00D51405"/>
    <w:rsid w:val="00D528E8"/>
    <w:rsid w:val="00D53416"/>
    <w:rsid w:val="00D57546"/>
    <w:rsid w:val="00D61949"/>
    <w:rsid w:val="00D62AA2"/>
    <w:rsid w:val="00D66019"/>
    <w:rsid w:val="00D665EB"/>
    <w:rsid w:val="00D66DDB"/>
    <w:rsid w:val="00D66F77"/>
    <w:rsid w:val="00D71273"/>
    <w:rsid w:val="00D71F49"/>
    <w:rsid w:val="00D71F7F"/>
    <w:rsid w:val="00D7211A"/>
    <w:rsid w:val="00D771D0"/>
    <w:rsid w:val="00D772A3"/>
    <w:rsid w:val="00D775D6"/>
    <w:rsid w:val="00D835CF"/>
    <w:rsid w:val="00D84D5B"/>
    <w:rsid w:val="00D86FEB"/>
    <w:rsid w:val="00D9149A"/>
    <w:rsid w:val="00D94AAF"/>
    <w:rsid w:val="00D967D0"/>
    <w:rsid w:val="00D972CF"/>
    <w:rsid w:val="00DA0326"/>
    <w:rsid w:val="00DA1094"/>
    <w:rsid w:val="00DA207D"/>
    <w:rsid w:val="00DA2684"/>
    <w:rsid w:val="00DA26FB"/>
    <w:rsid w:val="00DA2A02"/>
    <w:rsid w:val="00DA3966"/>
    <w:rsid w:val="00DA4780"/>
    <w:rsid w:val="00DA4941"/>
    <w:rsid w:val="00DA58B7"/>
    <w:rsid w:val="00DA7295"/>
    <w:rsid w:val="00DB0B8C"/>
    <w:rsid w:val="00DB0F1C"/>
    <w:rsid w:val="00DB5385"/>
    <w:rsid w:val="00DB60B4"/>
    <w:rsid w:val="00DB648D"/>
    <w:rsid w:val="00DB6C3D"/>
    <w:rsid w:val="00DB6CE2"/>
    <w:rsid w:val="00DC02F1"/>
    <w:rsid w:val="00DC2B1B"/>
    <w:rsid w:val="00DC5ACF"/>
    <w:rsid w:val="00DC6EA1"/>
    <w:rsid w:val="00DC7888"/>
    <w:rsid w:val="00DC7E71"/>
    <w:rsid w:val="00DC7E7A"/>
    <w:rsid w:val="00DD0399"/>
    <w:rsid w:val="00DD22D7"/>
    <w:rsid w:val="00DD6920"/>
    <w:rsid w:val="00DD7468"/>
    <w:rsid w:val="00DD7DF5"/>
    <w:rsid w:val="00DE25E9"/>
    <w:rsid w:val="00DE3D5E"/>
    <w:rsid w:val="00DE67B7"/>
    <w:rsid w:val="00DE71D3"/>
    <w:rsid w:val="00DE72CF"/>
    <w:rsid w:val="00DE7AFC"/>
    <w:rsid w:val="00DF08A0"/>
    <w:rsid w:val="00DF12E0"/>
    <w:rsid w:val="00DF3190"/>
    <w:rsid w:val="00DF33F5"/>
    <w:rsid w:val="00DF5888"/>
    <w:rsid w:val="00E0303C"/>
    <w:rsid w:val="00E032C7"/>
    <w:rsid w:val="00E1049C"/>
    <w:rsid w:val="00E12917"/>
    <w:rsid w:val="00E136DA"/>
    <w:rsid w:val="00E21C4D"/>
    <w:rsid w:val="00E22B25"/>
    <w:rsid w:val="00E22CCA"/>
    <w:rsid w:val="00E2604A"/>
    <w:rsid w:val="00E269CF"/>
    <w:rsid w:val="00E4062A"/>
    <w:rsid w:val="00E41596"/>
    <w:rsid w:val="00E41F8A"/>
    <w:rsid w:val="00E4256F"/>
    <w:rsid w:val="00E42BAC"/>
    <w:rsid w:val="00E43256"/>
    <w:rsid w:val="00E433A1"/>
    <w:rsid w:val="00E43B5D"/>
    <w:rsid w:val="00E5120E"/>
    <w:rsid w:val="00E52307"/>
    <w:rsid w:val="00E52FAF"/>
    <w:rsid w:val="00E5312A"/>
    <w:rsid w:val="00E54898"/>
    <w:rsid w:val="00E552B8"/>
    <w:rsid w:val="00E56319"/>
    <w:rsid w:val="00E56F07"/>
    <w:rsid w:val="00E63C4C"/>
    <w:rsid w:val="00E66A2A"/>
    <w:rsid w:val="00E67574"/>
    <w:rsid w:val="00E70760"/>
    <w:rsid w:val="00E7133E"/>
    <w:rsid w:val="00E71B40"/>
    <w:rsid w:val="00E72C93"/>
    <w:rsid w:val="00E74608"/>
    <w:rsid w:val="00E76761"/>
    <w:rsid w:val="00E7713B"/>
    <w:rsid w:val="00E814F9"/>
    <w:rsid w:val="00E81EEA"/>
    <w:rsid w:val="00E82957"/>
    <w:rsid w:val="00E84A9B"/>
    <w:rsid w:val="00E85725"/>
    <w:rsid w:val="00E85E95"/>
    <w:rsid w:val="00E86A02"/>
    <w:rsid w:val="00E91780"/>
    <w:rsid w:val="00E91B67"/>
    <w:rsid w:val="00E9253C"/>
    <w:rsid w:val="00E938FE"/>
    <w:rsid w:val="00E971D9"/>
    <w:rsid w:val="00EA1F45"/>
    <w:rsid w:val="00EA216C"/>
    <w:rsid w:val="00EA30B3"/>
    <w:rsid w:val="00EA5874"/>
    <w:rsid w:val="00EA5CF8"/>
    <w:rsid w:val="00EA6BA3"/>
    <w:rsid w:val="00EB1A01"/>
    <w:rsid w:val="00EB3E04"/>
    <w:rsid w:val="00EB45B5"/>
    <w:rsid w:val="00EB4B9A"/>
    <w:rsid w:val="00EB5B15"/>
    <w:rsid w:val="00EB5E57"/>
    <w:rsid w:val="00EB61DB"/>
    <w:rsid w:val="00EB6676"/>
    <w:rsid w:val="00EB7100"/>
    <w:rsid w:val="00EC1B92"/>
    <w:rsid w:val="00EC3315"/>
    <w:rsid w:val="00ED3EEB"/>
    <w:rsid w:val="00ED4AFD"/>
    <w:rsid w:val="00EE0121"/>
    <w:rsid w:val="00EE4FBE"/>
    <w:rsid w:val="00EE6335"/>
    <w:rsid w:val="00EF3138"/>
    <w:rsid w:val="00EF32D2"/>
    <w:rsid w:val="00EF402C"/>
    <w:rsid w:val="00EF48F9"/>
    <w:rsid w:val="00EF4FF7"/>
    <w:rsid w:val="00EF5843"/>
    <w:rsid w:val="00EF5870"/>
    <w:rsid w:val="00EF5B8A"/>
    <w:rsid w:val="00EF6299"/>
    <w:rsid w:val="00EF757C"/>
    <w:rsid w:val="00F013AA"/>
    <w:rsid w:val="00F048C8"/>
    <w:rsid w:val="00F062E1"/>
    <w:rsid w:val="00F073D2"/>
    <w:rsid w:val="00F10DAD"/>
    <w:rsid w:val="00F11BE9"/>
    <w:rsid w:val="00F12AC4"/>
    <w:rsid w:val="00F15789"/>
    <w:rsid w:val="00F16C1D"/>
    <w:rsid w:val="00F17392"/>
    <w:rsid w:val="00F20D62"/>
    <w:rsid w:val="00F22E4D"/>
    <w:rsid w:val="00F27BA7"/>
    <w:rsid w:val="00F27D40"/>
    <w:rsid w:val="00F3141F"/>
    <w:rsid w:val="00F3209A"/>
    <w:rsid w:val="00F34D3C"/>
    <w:rsid w:val="00F360E8"/>
    <w:rsid w:val="00F370E5"/>
    <w:rsid w:val="00F42644"/>
    <w:rsid w:val="00F44CCF"/>
    <w:rsid w:val="00F505C5"/>
    <w:rsid w:val="00F52080"/>
    <w:rsid w:val="00F52920"/>
    <w:rsid w:val="00F52BF3"/>
    <w:rsid w:val="00F539B5"/>
    <w:rsid w:val="00F548CD"/>
    <w:rsid w:val="00F54CA0"/>
    <w:rsid w:val="00F5649A"/>
    <w:rsid w:val="00F5674D"/>
    <w:rsid w:val="00F6072B"/>
    <w:rsid w:val="00F608F4"/>
    <w:rsid w:val="00F60D76"/>
    <w:rsid w:val="00F6199F"/>
    <w:rsid w:val="00F6344A"/>
    <w:rsid w:val="00F63C56"/>
    <w:rsid w:val="00F641A4"/>
    <w:rsid w:val="00F65BEB"/>
    <w:rsid w:val="00F65F9C"/>
    <w:rsid w:val="00F66253"/>
    <w:rsid w:val="00F678AF"/>
    <w:rsid w:val="00F67DC5"/>
    <w:rsid w:val="00F71E1A"/>
    <w:rsid w:val="00F72177"/>
    <w:rsid w:val="00F731D6"/>
    <w:rsid w:val="00F74958"/>
    <w:rsid w:val="00F771E5"/>
    <w:rsid w:val="00F77BF5"/>
    <w:rsid w:val="00F77EFC"/>
    <w:rsid w:val="00F82342"/>
    <w:rsid w:val="00F82419"/>
    <w:rsid w:val="00F862BF"/>
    <w:rsid w:val="00F86520"/>
    <w:rsid w:val="00F877DB"/>
    <w:rsid w:val="00F90145"/>
    <w:rsid w:val="00F90841"/>
    <w:rsid w:val="00F91AE4"/>
    <w:rsid w:val="00F93C8B"/>
    <w:rsid w:val="00F959DD"/>
    <w:rsid w:val="00F960D5"/>
    <w:rsid w:val="00F960EA"/>
    <w:rsid w:val="00F979D0"/>
    <w:rsid w:val="00FA0D60"/>
    <w:rsid w:val="00FA1F70"/>
    <w:rsid w:val="00FA3AA7"/>
    <w:rsid w:val="00FA4BF4"/>
    <w:rsid w:val="00FA67D2"/>
    <w:rsid w:val="00FB0BB7"/>
    <w:rsid w:val="00FB105A"/>
    <w:rsid w:val="00FB1231"/>
    <w:rsid w:val="00FB17C8"/>
    <w:rsid w:val="00FB287D"/>
    <w:rsid w:val="00FB37BD"/>
    <w:rsid w:val="00FB687E"/>
    <w:rsid w:val="00FC1655"/>
    <w:rsid w:val="00FC1C5C"/>
    <w:rsid w:val="00FC2A0F"/>
    <w:rsid w:val="00FC3391"/>
    <w:rsid w:val="00FC40D7"/>
    <w:rsid w:val="00FC4EAF"/>
    <w:rsid w:val="00FC54F5"/>
    <w:rsid w:val="00FC5F79"/>
    <w:rsid w:val="00FC6577"/>
    <w:rsid w:val="00FD03D6"/>
    <w:rsid w:val="00FD3602"/>
    <w:rsid w:val="00FD62FD"/>
    <w:rsid w:val="00FD7AED"/>
    <w:rsid w:val="00FE17E2"/>
    <w:rsid w:val="00FE216A"/>
    <w:rsid w:val="00FE2A9D"/>
    <w:rsid w:val="00FE4A35"/>
    <w:rsid w:val="00FE507B"/>
    <w:rsid w:val="00FE602E"/>
    <w:rsid w:val="00FE6046"/>
    <w:rsid w:val="00FE63BA"/>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table" w:customStyle="1" w:styleId="Style1">
    <w:name w:val="Style1"/>
    <w:basedOn w:val="TableNormal"/>
    <w:uiPriority w:val="99"/>
    <w:rsid w:val="00EF5843"/>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EF5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6210764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0585108">
      <w:bodyDiv w:val="1"/>
      <w:marLeft w:val="0"/>
      <w:marRight w:val="0"/>
      <w:marTop w:val="0"/>
      <w:marBottom w:val="0"/>
      <w:divBdr>
        <w:top w:val="none" w:sz="0" w:space="0" w:color="auto"/>
        <w:left w:val="none" w:sz="0" w:space="0" w:color="auto"/>
        <w:bottom w:val="none" w:sz="0" w:space="0" w:color="auto"/>
        <w:right w:val="none" w:sz="0" w:space="0" w:color="auto"/>
      </w:divBdr>
    </w:div>
    <w:div w:id="814100048">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87087385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96913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04639811">
      <w:bodyDiv w:val="1"/>
      <w:marLeft w:val="0"/>
      <w:marRight w:val="0"/>
      <w:marTop w:val="0"/>
      <w:marBottom w:val="0"/>
      <w:divBdr>
        <w:top w:val="none" w:sz="0" w:space="0" w:color="auto"/>
        <w:left w:val="none" w:sz="0" w:space="0" w:color="auto"/>
        <w:bottom w:val="none" w:sz="0" w:space="0" w:color="auto"/>
        <w:right w:val="none" w:sz="0" w:space="0" w:color="auto"/>
      </w:divBdr>
    </w:div>
    <w:div w:id="1209880708">
      <w:bodyDiv w:val="1"/>
      <w:marLeft w:val="0"/>
      <w:marRight w:val="0"/>
      <w:marTop w:val="0"/>
      <w:marBottom w:val="0"/>
      <w:divBdr>
        <w:top w:val="none" w:sz="0" w:space="0" w:color="auto"/>
        <w:left w:val="none" w:sz="0" w:space="0" w:color="auto"/>
        <w:bottom w:val="none" w:sz="0" w:space="0" w:color="auto"/>
        <w:right w:val="none" w:sz="0" w:space="0" w:color="auto"/>
      </w:divBdr>
    </w:div>
    <w:div w:id="1217204359">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270644">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31212473">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034265365">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 w:id="21384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moderngov.harrow.gov.uk/documents/s169323/Final%20202122%20Budget%20Report%20February%20Cabinet-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niels@harrow.gov.uk"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12" PreviousValue="true"/>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40E2774B-2638-482D-9393-DE0E93B2DE56}">
  <ds:schemaRefs>
    <ds:schemaRef ds:uri="http://schemas.openxmlformats.org/officeDocument/2006/bibliography"/>
  </ds:schemaRefs>
</ds:datastoreItem>
</file>

<file path=customXml/itemProps4.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6.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39</Pages>
  <Words>11483</Words>
  <Characters>62384</Characters>
  <Application>Microsoft Office Word</Application>
  <DocSecurity>0</DocSecurity>
  <Lines>519</Lines>
  <Paragraphs>147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73720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26</cp:revision>
  <cp:lastPrinted>2019-09-02T07:18:00Z</cp:lastPrinted>
  <dcterms:created xsi:type="dcterms:W3CDTF">2022-06-23T14:59:00Z</dcterms:created>
  <dcterms:modified xsi:type="dcterms:W3CDTF">2022-07-06T09:16:00Z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